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22BD0" w14:textId="1D572D73" w:rsidR="00BF3C93" w:rsidRDefault="00255326" w:rsidP="00EF1E87">
      <w:pPr>
        <w:spacing w:line="600" w:lineRule="auto"/>
        <w:jc w:val="center"/>
        <w:rPr>
          <w:rFonts w:ascii="ＭＳ Ｐゴシック" w:eastAsia="ＭＳ Ｐゴシック" w:hAnsi="ＭＳ Ｐゴシック"/>
          <w:sz w:val="40"/>
          <w:szCs w:val="40"/>
          <w:lang w:eastAsia="ja-JP"/>
        </w:rPr>
      </w:pPr>
      <w:r>
        <w:rPr>
          <w:rFonts w:ascii="HGS正楷書体" w:eastAsia="HGS正楷書体" w:hAnsi="ＭＳ 明朝" w:cs="Times New Roman" w:hint="eastAsia"/>
          <w:noProof/>
          <w:sz w:val="96"/>
          <w:szCs w:val="24"/>
          <w:lang w:eastAsia="ja-JP"/>
        </w:rPr>
        <w:drawing>
          <wp:anchor distT="0" distB="0" distL="114300" distR="114300" simplePos="0" relativeHeight="251668480" behindDoc="1" locked="0" layoutInCell="1" allowOverlap="1" wp14:anchorId="56FBA6DE" wp14:editId="5A95D95C">
            <wp:simplePos x="0" y="0"/>
            <wp:positionH relativeFrom="column">
              <wp:posOffset>4181375</wp:posOffset>
            </wp:positionH>
            <wp:positionV relativeFrom="paragraph">
              <wp:posOffset>42044</wp:posOffset>
            </wp:positionV>
            <wp:extent cx="1287780" cy="1287780"/>
            <wp:effectExtent l="0" t="0" r="7620" b="7620"/>
            <wp:wrapNone/>
            <wp:docPr id="25" name="図 25" descr="C:\Users\sugiura\AppData\Local\Microsoft\Windows\Temporary Internet Files\Content.IE5\K8ZUTWAD\lgi01a20140802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ura\AppData\Local\Microsoft\Windows\Temporary Internet Files\Content.IE5\K8ZUTWAD\lgi01a2014080213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0B42E" w14:textId="77777777" w:rsidR="00255326" w:rsidRDefault="00255326" w:rsidP="00EF1E87">
      <w:pPr>
        <w:spacing w:line="600" w:lineRule="auto"/>
        <w:jc w:val="center"/>
        <w:rPr>
          <w:rFonts w:ascii="ＭＳ Ｐゴシック" w:eastAsia="ＭＳ Ｐゴシック" w:hAnsi="ＭＳ Ｐゴシック"/>
          <w:sz w:val="40"/>
          <w:szCs w:val="40"/>
          <w:lang w:eastAsia="ja-JP"/>
        </w:rPr>
      </w:pPr>
    </w:p>
    <w:p w14:paraId="77A4B071" w14:textId="1BED324A" w:rsidR="003037DA" w:rsidRPr="003037DA" w:rsidRDefault="001C43F6" w:rsidP="00255326">
      <w:pPr>
        <w:spacing w:line="600" w:lineRule="auto"/>
        <w:jc w:val="center"/>
        <w:rPr>
          <w:rFonts w:ascii="ＭＳ Ｐゴシック" w:eastAsia="ＭＳ Ｐゴシック" w:hAnsi="ＭＳ Ｐゴシック"/>
          <w:sz w:val="22"/>
          <w:lang w:eastAsia="ja-JP"/>
        </w:rPr>
      </w:pPr>
      <w:r w:rsidRPr="003037DA">
        <w:rPr>
          <w:rFonts w:ascii="ＭＳ Ｐゴシック" w:eastAsia="ＭＳ Ｐゴシック" w:hAnsi="ＭＳ Ｐゴシック" w:hint="eastAsia"/>
          <w:sz w:val="40"/>
          <w:szCs w:val="40"/>
          <w:lang w:eastAsia="ja-JP"/>
        </w:rPr>
        <w:t>2017年度秋学期</w:t>
      </w:r>
    </w:p>
    <w:p w14:paraId="639269A3" w14:textId="6A124317" w:rsidR="001C43F6" w:rsidRPr="00EF1E87" w:rsidRDefault="001C43F6" w:rsidP="00255326">
      <w:pPr>
        <w:spacing w:line="600" w:lineRule="auto"/>
        <w:jc w:val="center"/>
        <w:rPr>
          <w:rFonts w:ascii="ＭＳ Ｐゴシック" w:eastAsia="ＭＳ Ｐゴシック" w:hAnsi="ＭＳ Ｐゴシック"/>
          <w:sz w:val="56"/>
          <w:szCs w:val="56"/>
          <w:lang w:eastAsia="ja-JP"/>
        </w:rPr>
      </w:pPr>
      <w:r w:rsidRPr="00EF1E87">
        <w:rPr>
          <w:rFonts w:ascii="ＭＳ Ｐゴシック" w:eastAsia="ＭＳ Ｐゴシック" w:hAnsi="ＭＳ Ｐゴシック" w:hint="eastAsia"/>
          <w:sz w:val="56"/>
          <w:szCs w:val="56"/>
          <w:lang w:eastAsia="ja-JP"/>
        </w:rPr>
        <w:t>日本語作文ⅡＢ</w:t>
      </w:r>
      <w:r w:rsidR="00EF1E87">
        <w:rPr>
          <w:rFonts w:ascii="ＭＳ Ｐゴシック" w:eastAsia="ＭＳ Ｐゴシック" w:hAnsi="ＭＳ Ｐゴシック" w:hint="eastAsia"/>
          <w:sz w:val="56"/>
          <w:szCs w:val="56"/>
          <w:lang w:eastAsia="ja-JP"/>
        </w:rPr>
        <w:t xml:space="preserve">　</w:t>
      </w:r>
      <w:r w:rsidRPr="00EF1E87">
        <w:rPr>
          <w:rFonts w:ascii="ＭＳ Ｐゴシック" w:eastAsia="ＭＳ Ｐゴシック" w:hAnsi="ＭＳ Ｐゴシック" w:hint="eastAsia"/>
          <w:sz w:val="56"/>
          <w:szCs w:val="56"/>
          <w:lang w:eastAsia="ja-JP"/>
        </w:rPr>
        <w:t>最終レポート集</w:t>
      </w:r>
    </w:p>
    <w:p w14:paraId="361C8319" w14:textId="5C53FE7F" w:rsidR="00EF1E87" w:rsidRDefault="00EF1E87" w:rsidP="00255326">
      <w:pPr>
        <w:spacing w:line="0" w:lineRule="atLeast"/>
        <w:jc w:val="center"/>
        <w:rPr>
          <w:rFonts w:ascii="ＭＳ Ｐゴシック" w:eastAsia="ＭＳ Ｐゴシック" w:hAnsi="ＭＳ Ｐゴシック"/>
          <w:sz w:val="28"/>
          <w:szCs w:val="28"/>
          <w:lang w:eastAsia="ja-JP"/>
        </w:rPr>
      </w:pPr>
    </w:p>
    <w:p w14:paraId="43948B6D" w14:textId="77777777" w:rsidR="00EF1E87" w:rsidRPr="00EF1E87" w:rsidRDefault="00EF1E87" w:rsidP="00255326">
      <w:pPr>
        <w:spacing w:line="0" w:lineRule="atLeast"/>
        <w:ind w:firstLineChars="100" w:firstLine="220"/>
        <w:jc w:val="left"/>
        <w:rPr>
          <w:rFonts w:ascii="ＭＳ Ｐゴシック" w:eastAsia="ＭＳ Ｐゴシック" w:hAnsi="ＭＳ Ｐゴシック"/>
          <w:sz w:val="20"/>
          <w:szCs w:val="20"/>
          <w:lang w:eastAsia="ja-JP"/>
        </w:rPr>
      </w:pPr>
      <w:r>
        <w:rPr>
          <w:rFonts w:ascii="ＭＳ Ｐゴシック" w:eastAsia="ＭＳ Ｐゴシック" w:hAnsi="ＭＳ Ｐゴシック" w:hint="eastAsia"/>
          <w:sz w:val="22"/>
          <w:lang w:eastAsia="ja-JP"/>
        </w:rPr>
        <w:t>今学期も、一学期かけて一本のレポート作成を行いました。書き言葉への転換、論点を見つけ根拠を示して主張を展開する方法、レポート作成の決まりごとの数々に四苦八苦しながら、それぞれが粘り強く取り組みました。この経験がこれからの彼らの学術的発信の基礎になることを期待します。</w:t>
      </w:r>
      <w:r w:rsidRPr="00EF1E87">
        <w:rPr>
          <w:rFonts w:ascii="ＭＳ Ｐゴシック" w:eastAsia="ＭＳ Ｐゴシック" w:hAnsi="ＭＳ Ｐゴシック" w:hint="eastAsia"/>
          <w:sz w:val="20"/>
          <w:szCs w:val="20"/>
          <w:lang w:eastAsia="ja-JP"/>
        </w:rPr>
        <w:t>（20180205杉浦作成）</w:t>
      </w:r>
    </w:p>
    <w:p w14:paraId="7EDE3935" w14:textId="2C802567" w:rsidR="00EF1E87" w:rsidRPr="00EF1E87" w:rsidRDefault="00EF1E87" w:rsidP="00255326">
      <w:pPr>
        <w:spacing w:line="0" w:lineRule="atLeast"/>
        <w:jc w:val="center"/>
        <w:rPr>
          <w:rFonts w:ascii="ＭＳ Ｐゴシック" w:eastAsia="ＭＳ Ｐゴシック" w:hAnsi="ＭＳ Ｐゴシック"/>
          <w:sz w:val="22"/>
          <w:lang w:eastAsia="ja-JP"/>
        </w:rPr>
      </w:pPr>
    </w:p>
    <w:p w14:paraId="09CFEEA7" w14:textId="6DA283F0" w:rsidR="00EF1E87" w:rsidRDefault="00EF1E87" w:rsidP="00255326">
      <w:pPr>
        <w:spacing w:line="0" w:lineRule="atLeast"/>
        <w:jc w:val="center"/>
        <w:rPr>
          <w:rFonts w:ascii="ＭＳ 明朝" w:eastAsia="ＭＳ 明朝" w:hAnsi="ＭＳ 明朝"/>
          <w:szCs w:val="21"/>
          <w:lang w:eastAsia="ja-JP"/>
        </w:rPr>
      </w:pPr>
    </w:p>
    <w:p w14:paraId="5BE49B65" w14:textId="77777777" w:rsidR="00EF1E87" w:rsidRDefault="00EF1E87" w:rsidP="00255326">
      <w:pPr>
        <w:spacing w:line="0" w:lineRule="atLeast"/>
        <w:jc w:val="center"/>
        <w:rPr>
          <w:rFonts w:ascii="ＭＳ 明朝" w:eastAsia="ＭＳ 明朝" w:hAnsi="ＭＳ 明朝"/>
          <w:szCs w:val="21"/>
          <w:lang w:eastAsia="ja-JP"/>
        </w:rPr>
      </w:pPr>
    </w:p>
    <w:p w14:paraId="6C2A55F1" w14:textId="77777777" w:rsidR="00EF1E87" w:rsidRDefault="00EF1E87" w:rsidP="001C43F6">
      <w:pPr>
        <w:spacing w:line="0" w:lineRule="atLeast"/>
        <w:jc w:val="left"/>
        <w:rPr>
          <w:rFonts w:ascii="ＭＳ 明朝" w:eastAsia="ＭＳ 明朝" w:hAnsi="ＭＳ 明朝"/>
          <w:szCs w:val="21"/>
          <w:lang w:eastAsia="ja-JP"/>
        </w:rPr>
      </w:pPr>
    </w:p>
    <w:p w14:paraId="2F30001A" w14:textId="77777777" w:rsidR="00EF1E87" w:rsidRDefault="00EF1E87" w:rsidP="001C43F6">
      <w:pPr>
        <w:spacing w:line="0" w:lineRule="atLeast"/>
        <w:jc w:val="left"/>
        <w:rPr>
          <w:rFonts w:ascii="ＭＳ 明朝" w:eastAsia="ＭＳ 明朝" w:hAnsi="ＭＳ 明朝"/>
          <w:szCs w:val="21"/>
          <w:lang w:eastAsia="ja-JP"/>
        </w:rPr>
      </w:pPr>
    </w:p>
    <w:p w14:paraId="48E38BC1" w14:textId="77777777" w:rsidR="00F32CCC" w:rsidRDefault="00F32CCC" w:rsidP="001C43F6">
      <w:pPr>
        <w:spacing w:line="0" w:lineRule="atLeast"/>
        <w:jc w:val="left"/>
        <w:rPr>
          <w:rFonts w:ascii="ＭＳ 明朝" w:eastAsia="ＭＳ 明朝" w:hAnsi="ＭＳ 明朝"/>
          <w:szCs w:val="21"/>
          <w:lang w:eastAsia="ja-JP"/>
        </w:rPr>
      </w:pPr>
    </w:p>
    <w:p w14:paraId="5C753F2E" w14:textId="77777777" w:rsidR="00F32CCC" w:rsidRDefault="00F32CCC" w:rsidP="001C43F6">
      <w:pPr>
        <w:spacing w:line="0" w:lineRule="atLeast"/>
        <w:jc w:val="left"/>
        <w:rPr>
          <w:rFonts w:ascii="ＭＳ 明朝" w:eastAsia="ＭＳ 明朝" w:hAnsi="ＭＳ 明朝"/>
          <w:szCs w:val="21"/>
          <w:lang w:eastAsia="ja-JP"/>
        </w:rPr>
      </w:pPr>
    </w:p>
    <w:p w14:paraId="5F80C188" w14:textId="77777777" w:rsidR="00EF1E87" w:rsidRDefault="00EF1E87" w:rsidP="001C43F6">
      <w:pPr>
        <w:spacing w:line="0" w:lineRule="atLeast"/>
        <w:jc w:val="left"/>
        <w:rPr>
          <w:rFonts w:ascii="ＭＳ 明朝" w:eastAsia="ＭＳ 明朝" w:hAnsi="ＭＳ 明朝"/>
          <w:szCs w:val="21"/>
          <w:lang w:eastAsia="ja-JP"/>
        </w:rPr>
      </w:pPr>
    </w:p>
    <w:p w14:paraId="142C8B03" w14:textId="77777777" w:rsidR="00EF1E87" w:rsidRDefault="00EF1E87" w:rsidP="001C43F6">
      <w:pPr>
        <w:spacing w:line="0" w:lineRule="atLeast"/>
        <w:jc w:val="left"/>
        <w:rPr>
          <w:rFonts w:ascii="ＭＳ 明朝" w:eastAsia="ＭＳ 明朝" w:hAnsi="ＭＳ 明朝"/>
          <w:szCs w:val="21"/>
          <w:lang w:eastAsia="ja-JP"/>
        </w:rPr>
      </w:pPr>
    </w:p>
    <w:p w14:paraId="0BDDA917" w14:textId="77777777" w:rsidR="00EF1E87" w:rsidRDefault="00EF1E87" w:rsidP="001C43F6">
      <w:pPr>
        <w:spacing w:line="0" w:lineRule="atLeast"/>
        <w:jc w:val="left"/>
        <w:rPr>
          <w:rFonts w:ascii="ＭＳ 明朝" w:eastAsia="ＭＳ 明朝" w:hAnsi="ＭＳ 明朝"/>
          <w:szCs w:val="21"/>
          <w:lang w:eastAsia="ja-JP"/>
        </w:rPr>
      </w:pPr>
    </w:p>
    <w:p w14:paraId="51AC9745" w14:textId="77777777" w:rsidR="00EF1E87" w:rsidRDefault="00EF1E87" w:rsidP="001C43F6">
      <w:pPr>
        <w:spacing w:line="0" w:lineRule="atLeast"/>
        <w:jc w:val="left"/>
        <w:rPr>
          <w:rFonts w:ascii="ＭＳ 明朝" w:eastAsia="ＭＳ 明朝" w:hAnsi="ＭＳ 明朝"/>
          <w:szCs w:val="21"/>
          <w:lang w:eastAsia="ja-JP"/>
        </w:rPr>
      </w:pPr>
    </w:p>
    <w:p w14:paraId="6FDB0AE8" w14:textId="77777777" w:rsidR="00EF1E87" w:rsidRDefault="00EF1E87" w:rsidP="001C43F6">
      <w:pPr>
        <w:spacing w:line="0" w:lineRule="atLeast"/>
        <w:jc w:val="left"/>
        <w:rPr>
          <w:rFonts w:ascii="ＭＳ 明朝" w:eastAsia="ＭＳ 明朝" w:hAnsi="ＭＳ 明朝"/>
          <w:szCs w:val="21"/>
          <w:lang w:eastAsia="ja-JP"/>
        </w:rPr>
      </w:pPr>
    </w:p>
    <w:p w14:paraId="2C9FC428" w14:textId="77777777" w:rsidR="001C43F6" w:rsidRPr="001C43F6" w:rsidRDefault="001C43F6" w:rsidP="001C43F6">
      <w:pPr>
        <w:spacing w:line="0" w:lineRule="atLeast"/>
        <w:jc w:val="left"/>
        <w:rPr>
          <w:rFonts w:ascii="ＭＳ 明朝" w:eastAsia="ＭＳ 明朝" w:hAnsi="ＭＳ 明朝"/>
          <w:szCs w:val="21"/>
          <w:lang w:eastAsia="ja-JP"/>
        </w:rPr>
      </w:pPr>
      <w:r w:rsidRPr="001C43F6">
        <w:rPr>
          <w:rFonts w:ascii="ＭＳ 明朝" w:eastAsia="ＭＳ 明朝" w:hAnsi="ＭＳ 明朝" w:hint="eastAsia"/>
          <w:szCs w:val="21"/>
          <w:lang w:eastAsia="ja-JP"/>
        </w:rPr>
        <w:t>日本文化産業の海外進出</w:t>
      </w:r>
    </w:p>
    <w:p w14:paraId="0834EE1A" w14:textId="6B30BFF8" w:rsidR="001C43F6" w:rsidRDefault="001C43F6" w:rsidP="001C43F6">
      <w:pPr>
        <w:spacing w:line="0" w:lineRule="atLeast"/>
        <w:ind w:firstLineChars="100" w:firstLine="210"/>
        <w:jc w:val="left"/>
        <w:rPr>
          <w:rFonts w:ascii="ＭＳ 明朝" w:eastAsia="ＭＳ 明朝" w:hAnsi="ＭＳ 明朝"/>
          <w:lang w:eastAsia="ja-JP"/>
        </w:rPr>
      </w:pPr>
      <w:r w:rsidRPr="001C43F6">
        <w:rPr>
          <w:rFonts w:ascii="ＭＳ 明朝" w:eastAsia="ＭＳ 明朝" w:hAnsi="ＭＳ 明朝" w:hint="eastAsia"/>
          <w:szCs w:val="21"/>
          <w:lang w:eastAsia="ja-JP"/>
        </w:rPr>
        <w:t>——日本文化産業の海外売上が低い問題についての分析——</w:t>
      </w:r>
      <w:r>
        <w:rPr>
          <w:rFonts w:ascii="ＭＳ 明朝" w:eastAsia="ＭＳ 明朝" w:hAnsi="ＭＳ 明朝" w:hint="eastAsia"/>
          <w:szCs w:val="21"/>
          <w:lang w:eastAsia="ja-JP"/>
        </w:rPr>
        <w:t xml:space="preserve">　　　</w:t>
      </w:r>
      <w:r w:rsidRPr="00627C4F">
        <w:rPr>
          <w:rFonts w:ascii="ＭＳ 明朝" w:eastAsia="ＭＳ 明朝" w:hAnsi="ＭＳ 明朝" w:hint="eastAsia"/>
          <w:szCs w:val="21"/>
          <w:lang w:eastAsia="ja-JP"/>
        </w:rPr>
        <w:t xml:space="preserve">　　　</w:t>
      </w:r>
      <w:r w:rsidR="00797E91">
        <w:rPr>
          <w:rFonts w:ascii="ＭＳ 明朝" w:eastAsia="ＭＳ 明朝" w:hAnsi="ＭＳ 明朝" w:hint="eastAsia"/>
          <w:szCs w:val="21"/>
          <w:lang w:eastAsia="ja-JP"/>
        </w:rPr>
        <w:t xml:space="preserve">　</w:t>
      </w:r>
      <w:r w:rsidRPr="00627C4F">
        <w:rPr>
          <w:rFonts w:ascii="ＭＳ 明朝" w:eastAsia="ＭＳ 明朝" w:hAnsi="ＭＳ 明朝"/>
          <w:lang w:eastAsia="ja-JP"/>
        </w:rPr>
        <w:t>PANG DI</w:t>
      </w:r>
      <w:r w:rsidR="00627C4F" w:rsidRPr="00627C4F">
        <w:rPr>
          <w:rFonts w:ascii="ＭＳ 明朝" w:eastAsia="ＭＳ 明朝" w:hAnsi="ＭＳ 明朝" w:hint="eastAsia"/>
          <w:lang w:eastAsia="ja-JP"/>
        </w:rPr>
        <w:t xml:space="preserve">　p.１</w:t>
      </w:r>
    </w:p>
    <w:p w14:paraId="09C5DC52" w14:textId="77777777" w:rsidR="00627C4F" w:rsidRPr="00627C4F" w:rsidRDefault="00627C4F" w:rsidP="001C43F6">
      <w:pPr>
        <w:spacing w:line="0" w:lineRule="atLeast"/>
        <w:ind w:firstLineChars="100" w:firstLine="210"/>
        <w:jc w:val="left"/>
        <w:rPr>
          <w:rFonts w:ascii="ＭＳ 明朝" w:eastAsia="ＭＳ 明朝" w:hAnsi="ＭＳ 明朝"/>
          <w:lang w:eastAsia="ja-JP"/>
        </w:rPr>
      </w:pPr>
    </w:p>
    <w:p w14:paraId="546B30A2" w14:textId="75868A96" w:rsidR="001C43F6" w:rsidRDefault="001C43F6" w:rsidP="001C43F6">
      <w:pPr>
        <w:jc w:val="left"/>
        <w:rPr>
          <w:rFonts w:ascii="ＭＳ 明朝" w:eastAsia="ＭＳ 明朝" w:hAnsi="ＭＳ 明朝"/>
          <w:lang w:eastAsia="ja-JP"/>
        </w:rPr>
      </w:pPr>
      <w:r w:rsidRPr="0035661A">
        <w:rPr>
          <w:rFonts w:ascii="ＭＳ 明朝" w:eastAsia="ＭＳ 明朝" w:hAnsi="ＭＳ 明朝" w:hint="eastAsia"/>
          <w:szCs w:val="24"/>
          <w:lang w:eastAsia="ja-JP"/>
        </w:rPr>
        <w:t>プラ</w:t>
      </w:r>
      <w:r>
        <w:rPr>
          <w:rFonts w:ascii="ＭＳ 明朝" w:eastAsia="ＭＳ 明朝" w:hAnsi="ＭＳ 明朝" w:hint="eastAsia"/>
          <w:szCs w:val="24"/>
          <w:lang w:eastAsia="ja-JP"/>
        </w:rPr>
        <w:t>ザ合意</w:t>
      </w:r>
      <w:r w:rsidRPr="0035661A">
        <w:rPr>
          <w:rFonts w:ascii="ＭＳ 明朝" w:eastAsia="ＭＳ 明朝" w:hAnsi="ＭＳ 明朝" w:hint="eastAsia"/>
          <w:szCs w:val="24"/>
          <w:lang w:eastAsia="ja-JP"/>
        </w:rPr>
        <w:t>再考-</w:t>
      </w:r>
      <w:r>
        <w:rPr>
          <w:rFonts w:ascii="ＭＳ 明朝" w:eastAsia="ＭＳ 明朝" w:hAnsi="ＭＳ 明朝" w:hint="eastAsia"/>
          <w:szCs w:val="24"/>
          <w:lang w:eastAsia="ja-JP"/>
        </w:rPr>
        <w:t>何がバブル経済を</w:t>
      </w:r>
      <w:r w:rsidRPr="0035661A">
        <w:rPr>
          <w:rFonts w:ascii="ＭＳ 明朝" w:eastAsia="ＭＳ 明朝" w:hAnsi="ＭＳ 明朝" w:hint="eastAsia"/>
          <w:szCs w:val="24"/>
          <w:lang w:eastAsia="ja-JP"/>
        </w:rPr>
        <w:t>崩壊</w:t>
      </w:r>
      <w:r>
        <w:rPr>
          <w:rFonts w:ascii="ＭＳ 明朝" w:eastAsia="ＭＳ 明朝" w:hAnsi="ＭＳ 明朝" w:hint="eastAsia"/>
          <w:szCs w:val="24"/>
          <w:lang w:eastAsia="ja-JP"/>
        </w:rPr>
        <w:t xml:space="preserve">させたのか　　　　　　　　　</w:t>
      </w:r>
      <w:r w:rsidR="000B3A92">
        <w:rPr>
          <w:rFonts w:ascii="ＭＳ 明朝" w:eastAsia="ＭＳ 明朝" w:hAnsi="ＭＳ 明朝" w:hint="eastAsia"/>
          <w:szCs w:val="24"/>
          <w:lang w:eastAsia="ja-JP"/>
        </w:rPr>
        <w:t xml:space="preserve">　</w:t>
      </w:r>
      <w:r>
        <w:rPr>
          <w:rFonts w:ascii="ＭＳ 明朝" w:eastAsia="ＭＳ 明朝" w:hAnsi="ＭＳ 明朝" w:hint="eastAsia"/>
          <w:szCs w:val="24"/>
          <w:lang w:eastAsia="ja-JP"/>
        </w:rPr>
        <w:t xml:space="preserve">　</w:t>
      </w:r>
      <w:r w:rsidRPr="0035661A">
        <w:rPr>
          <w:rFonts w:ascii="ＭＳ 明朝" w:eastAsia="ＭＳ 明朝" w:hAnsi="ＭＳ 明朝" w:hint="eastAsia"/>
          <w:szCs w:val="21"/>
        </w:rPr>
        <w:t>劉仲翔</w:t>
      </w:r>
      <w:r w:rsidR="00627C4F">
        <w:rPr>
          <w:rFonts w:ascii="ＭＳ 明朝" w:eastAsia="ＭＳ 明朝" w:hAnsi="ＭＳ 明朝" w:hint="eastAsia"/>
          <w:szCs w:val="21"/>
          <w:lang w:eastAsia="ja-JP"/>
        </w:rPr>
        <w:t xml:space="preserve">　</w:t>
      </w:r>
      <w:r w:rsidR="00627C4F" w:rsidRPr="00627C4F">
        <w:rPr>
          <w:rFonts w:ascii="ＭＳ 明朝" w:eastAsia="ＭＳ 明朝" w:hAnsi="ＭＳ 明朝" w:hint="eastAsia"/>
          <w:lang w:eastAsia="ja-JP"/>
        </w:rPr>
        <w:t>p.</w:t>
      </w:r>
      <w:r w:rsidR="00627C4F">
        <w:rPr>
          <w:rFonts w:ascii="ＭＳ 明朝" w:eastAsia="ＭＳ 明朝" w:hAnsi="ＭＳ 明朝" w:hint="eastAsia"/>
          <w:lang w:eastAsia="ja-JP"/>
        </w:rPr>
        <w:t>７</w:t>
      </w:r>
    </w:p>
    <w:p w14:paraId="2A25DE17" w14:textId="77777777" w:rsidR="00627C4F" w:rsidRPr="0035661A" w:rsidRDefault="00627C4F" w:rsidP="001C43F6">
      <w:pPr>
        <w:jc w:val="left"/>
        <w:rPr>
          <w:rFonts w:ascii="ＭＳ 明朝" w:eastAsia="ＭＳ 明朝" w:hAnsi="ＭＳ 明朝"/>
          <w:szCs w:val="21"/>
        </w:rPr>
      </w:pPr>
    </w:p>
    <w:p w14:paraId="62A9D9C8" w14:textId="2035DF1E" w:rsidR="000B3A92" w:rsidRDefault="000B3A92" w:rsidP="000B3A92">
      <w:pPr>
        <w:jc w:val="left"/>
        <w:rPr>
          <w:rFonts w:ascii="ＭＳ 明朝" w:eastAsia="ＭＳ 明朝" w:hAnsi="ＭＳ 明朝"/>
          <w:lang w:eastAsia="ja-JP"/>
        </w:rPr>
      </w:pPr>
      <w:r w:rsidRPr="000B3A92">
        <w:rPr>
          <w:rFonts w:ascii="ＭＳ 明朝" w:eastAsia="ＭＳ 明朝" w:hAnsi="ＭＳ 明朝"/>
          <w:bCs/>
          <w:szCs w:val="21"/>
          <w:lang w:eastAsia="ja-JP"/>
        </w:rPr>
        <w:t>漢字学習</w:t>
      </w:r>
      <w:r>
        <w:rPr>
          <w:rFonts w:ascii="ＭＳ 明朝" w:eastAsia="ＭＳ 明朝" w:hAnsi="ＭＳ 明朝" w:hint="eastAsia"/>
          <w:bCs/>
          <w:szCs w:val="21"/>
          <w:lang w:eastAsia="ja-JP"/>
        </w:rPr>
        <w:t xml:space="preserve">　</w:t>
      </w:r>
      <w:r w:rsidRPr="000B3A92">
        <w:rPr>
          <w:rFonts w:ascii="ＭＳ 明朝" w:eastAsia="ＭＳ 明朝" w:hAnsi="ＭＳ 明朝"/>
          <w:bCs/>
          <w:szCs w:val="21"/>
          <w:lang w:eastAsia="ja-JP"/>
        </w:rPr>
        <w:t>―視覚記憶と連想記憶の比較研究―</w:t>
      </w:r>
      <w:r>
        <w:rPr>
          <w:rFonts w:ascii="ＭＳ 明朝" w:eastAsia="ＭＳ 明朝" w:hAnsi="ＭＳ 明朝" w:hint="eastAsia"/>
          <w:bCs/>
          <w:szCs w:val="21"/>
          <w:lang w:eastAsia="ja-JP"/>
        </w:rPr>
        <w:t xml:space="preserve">　　　</w:t>
      </w:r>
      <w:r w:rsidRPr="000B3A92">
        <w:rPr>
          <w:rFonts w:ascii="ＭＳ 明朝" w:eastAsia="ＭＳ 明朝" w:hAnsi="ＭＳ 明朝"/>
          <w:szCs w:val="21"/>
          <w:lang w:eastAsia="ja-JP"/>
        </w:rPr>
        <w:t>ジェリン・ジョー・トーマス</w:t>
      </w:r>
      <w:r w:rsidR="00627C4F" w:rsidRPr="00627C4F">
        <w:rPr>
          <w:rFonts w:ascii="ＭＳ 明朝" w:eastAsia="ＭＳ 明朝" w:hAnsi="ＭＳ 明朝" w:hint="eastAsia"/>
          <w:lang w:eastAsia="ja-JP"/>
        </w:rPr>
        <w:t xml:space="preserve"> p.</w:t>
      </w:r>
      <w:r w:rsidR="00627C4F">
        <w:rPr>
          <w:rFonts w:ascii="ＭＳ 明朝" w:eastAsia="ＭＳ 明朝" w:hAnsi="ＭＳ 明朝" w:hint="eastAsia"/>
          <w:lang w:eastAsia="ja-JP"/>
        </w:rPr>
        <w:t>11</w:t>
      </w:r>
    </w:p>
    <w:p w14:paraId="56526869" w14:textId="77777777" w:rsidR="00627C4F" w:rsidRDefault="00627C4F" w:rsidP="000B3A92">
      <w:pPr>
        <w:jc w:val="left"/>
        <w:rPr>
          <w:rFonts w:ascii="ＭＳ 明朝" w:eastAsia="ＭＳ 明朝" w:hAnsi="ＭＳ 明朝"/>
          <w:lang w:eastAsia="ja-JP"/>
        </w:rPr>
      </w:pPr>
    </w:p>
    <w:p w14:paraId="2C678C8E" w14:textId="73E509C7" w:rsidR="005701DD" w:rsidRDefault="005701DD" w:rsidP="005701DD">
      <w:pPr>
        <w:spacing w:line="276" w:lineRule="auto"/>
        <w:jc w:val="left"/>
        <w:rPr>
          <w:rFonts w:ascii="ＭＳ 明朝" w:eastAsia="ＭＳ 明朝" w:hAnsi="ＭＳ 明朝"/>
          <w:lang w:eastAsia="ja-JP"/>
        </w:rPr>
      </w:pPr>
      <w:r w:rsidRPr="005701DD">
        <w:rPr>
          <w:rFonts w:ascii="ＭＳ 明朝" w:eastAsia="ＭＳ 明朝" w:hAnsi="ＭＳ 明朝" w:cs="Times New Roman" w:hint="eastAsia"/>
          <w:szCs w:val="21"/>
          <w:lang w:eastAsia="ja-JP"/>
        </w:rPr>
        <w:t>香港行政長官選挙改革－民主的な制度への方案分析</w:t>
      </w:r>
      <w:r>
        <w:rPr>
          <w:rFonts w:ascii="ＭＳ 明朝" w:eastAsia="ＭＳ 明朝" w:hAnsi="ＭＳ 明朝" w:cs="Times New Roman" w:hint="eastAsia"/>
          <w:szCs w:val="21"/>
          <w:lang w:eastAsia="ja-JP"/>
        </w:rPr>
        <w:t xml:space="preserve">　　　　　　　　　</w:t>
      </w:r>
      <w:r w:rsidRPr="005701DD">
        <w:rPr>
          <w:rFonts w:ascii="ＭＳ 明朝" w:eastAsia="ＭＳ 明朝" w:hAnsi="ＭＳ 明朝" w:cs="Times New Roman" w:hint="eastAsia"/>
          <w:szCs w:val="21"/>
          <w:lang w:eastAsia="ja-JP"/>
        </w:rPr>
        <w:t>黄　卓耀</w:t>
      </w:r>
      <w:r w:rsidR="00627C4F">
        <w:rPr>
          <w:rFonts w:ascii="ＭＳ 明朝" w:eastAsia="ＭＳ 明朝" w:hAnsi="ＭＳ 明朝" w:cs="Times New Roman" w:hint="eastAsia"/>
          <w:szCs w:val="21"/>
          <w:lang w:eastAsia="ja-JP"/>
        </w:rPr>
        <w:t xml:space="preserve">　</w:t>
      </w:r>
      <w:bookmarkStart w:id="0" w:name="_GoBack"/>
      <w:bookmarkEnd w:id="0"/>
      <w:r w:rsidR="00627C4F" w:rsidRPr="00627C4F">
        <w:rPr>
          <w:rFonts w:ascii="ＭＳ 明朝" w:eastAsia="ＭＳ 明朝" w:hAnsi="ＭＳ 明朝" w:hint="eastAsia"/>
          <w:lang w:eastAsia="ja-JP"/>
        </w:rPr>
        <w:t>p.</w:t>
      </w:r>
      <w:r w:rsidR="00627C4F">
        <w:rPr>
          <w:rFonts w:ascii="ＭＳ 明朝" w:eastAsia="ＭＳ 明朝" w:hAnsi="ＭＳ 明朝" w:hint="eastAsia"/>
          <w:lang w:eastAsia="ja-JP"/>
        </w:rPr>
        <w:t>15</w:t>
      </w:r>
    </w:p>
    <w:p w14:paraId="4DBD373F" w14:textId="77777777" w:rsidR="00627C4F" w:rsidRPr="005701DD" w:rsidRDefault="00627C4F" w:rsidP="005701DD">
      <w:pPr>
        <w:spacing w:line="276" w:lineRule="auto"/>
        <w:jc w:val="left"/>
        <w:rPr>
          <w:rFonts w:ascii="ＭＳ 明朝" w:eastAsia="ＭＳ 明朝" w:hAnsi="ＭＳ 明朝" w:cs="Times New Roman"/>
          <w:szCs w:val="21"/>
          <w:lang w:eastAsia="ja-JP"/>
        </w:rPr>
      </w:pPr>
    </w:p>
    <w:p w14:paraId="49AFB730" w14:textId="61B8D494" w:rsidR="003037DA" w:rsidRDefault="00CE4D60" w:rsidP="003037DA">
      <w:pPr>
        <w:rPr>
          <w:rFonts w:ascii="ＭＳ 明朝" w:eastAsia="ＭＳ 明朝" w:hAnsi="ＭＳ 明朝"/>
          <w:lang w:eastAsia="ja-JP"/>
        </w:rPr>
      </w:pPr>
      <w:r w:rsidRPr="00BF3C93">
        <w:rPr>
          <w:rFonts w:ascii="ＭＳ 明朝" w:eastAsia="ＭＳ 明朝" w:hAnsi="ＭＳ 明朝"/>
          <w:szCs w:val="21"/>
        </w:rPr>
        <w:t>「ている形」と「た形」動詞の使い方の差異</w:t>
      </w:r>
      <w:r>
        <w:rPr>
          <w:rFonts w:ascii="ＭＳ 明朝" w:eastAsia="ＭＳ 明朝" w:hAnsi="ＭＳ 明朝" w:hint="eastAsia"/>
          <w:szCs w:val="21"/>
          <w:lang w:eastAsia="ja-JP"/>
        </w:rPr>
        <w:t xml:space="preserve">　　　　　　　　　　　　</w:t>
      </w:r>
      <w:r w:rsidRPr="00BF3C93">
        <w:rPr>
          <w:rFonts w:ascii="ＭＳ 明朝" w:eastAsia="ＭＳ 明朝" w:hAnsi="ＭＳ 明朝"/>
          <w:szCs w:val="21"/>
        </w:rPr>
        <w:t>朴オリガ</w:t>
      </w:r>
      <w:r w:rsidR="00627C4F">
        <w:rPr>
          <w:rFonts w:ascii="ＭＳ 明朝" w:eastAsia="ＭＳ 明朝" w:hAnsi="ＭＳ 明朝" w:cs="MingLiU" w:hint="eastAsia"/>
          <w:szCs w:val="21"/>
          <w:lang w:eastAsia="ja-JP"/>
        </w:rPr>
        <w:t xml:space="preserve">　</w:t>
      </w:r>
      <w:r w:rsidR="00627C4F" w:rsidRPr="00627C4F">
        <w:rPr>
          <w:rFonts w:ascii="ＭＳ 明朝" w:eastAsia="ＭＳ 明朝" w:hAnsi="ＭＳ 明朝" w:hint="eastAsia"/>
          <w:lang w:eastAsia="ja-JP"/>
        </w:rPr>
        <w:t>p.</w:t>
      </w:r>
      <w:r w:rsidR="00627C4F">
        <w:rPr>
          <w:rFonts w:ascii="ＭＳ 明朝" w:eastAsia="ＭＳ 明朝" w:hAnsi="ＭＳ 明朝" w:hint="eastAsia"/>
          <w:lang w:eastAsia="ja-JP"/>
        </w:rPr>
        <w:t>18</w:t>
      </w:r>
    </w:p>
    <w:p w14:paraId="327C6B9F" w14:textId="77777777" w:rsidR="00627C4F" w:rsidRPr="00BF3C93" w:rsidRDefault="00627C4F" w:rsidP="003037DA">
      <w:pPr>
        <w:rPr>
          <w:rStyle w:val="ab"/>
          <w:rFonts w:ascii="ＭＳ 明朝" w:eastAsia="ＭＳ 明朝" w:hAnsi="ＭＳ 明朝"/>
          <w:sz w:val="21"/>
          <w:szCs w:val="21"/>
        </w:rPr>
      </w:pPr>
    </w:p>
    <w:p w14:paraId="3AEB6A70" w14:textId="7D6FB1F0" w:rsidR="00BF3C93" w:rsidRPr="00BF3C93" w:rsidRDefault="00CE4D60" w:rsidP="00CE4D60">
      <w:pPr>
        <w:rPr>
          <w:rFonts w:ascii="ＭＳ 明朝" w:eastAsia="ＭＳ 明朝" w:hAnsi="ＭＳ 明朝"/>
          <w:szCs w:val="21"/>
        </w:rPr>
      </w:pPr>
      <w:r w:rsidRPr="00BF3C93">
        <w:rPr>
          <w:rFonts w:ascii="ＭＳ 明朝" w:eastAsia="ＭＳ 明朝" w:hAnsi="ＭＳ 明朝" w:hint="eastAsia"/>
          <w:szCs w:val="21"/>
        </w:rPr>
        <w:t>ウズベキスタンの学校における</w:t>
      </w:r>
      <w:r w:rsidRPr="00BF3C93">
        <w:rPr>
          <w:rFonts w:ascii="ＭＳ 明朝" w:eastAsia="ＭＳ 明朝" w:hAnsi="ＭＳ 明朝"/>
          <w:szCs w:val="21"/>
        </w:rPr>
        <w:t>社会的排除</w:t>
      </w:r>
      <w:r w:rsidRPr="00BF3C93">
        <w:rPr>
          <w:rFonts w:ascii="ＭＳ 明朝" w:eastAsia="ＭＳ 明朝" w:hAnsi="ＭＳ 明朝" w:hint="eastAsia"/>
          <w:szCs w:val="21"/>
        </w:rPr>
        <w:t>の原因</w:t>
      </w:r>
      <w:r>
        <w:rPr>
          <w:rFonts w:ascii="ＭＳ 明朝" w:eastAsia="ＭＳ 明朝" w:hAnsi="ＭＳ 明朝" w:hint="eastAsia"/>
          <w:szCs w:val="21"/>
          <w:lang w:eastAsia="ja-JP"/>
        </w:rPr>
        <w:t xml:space="preserve">　　　　　　　　　　</w:t>
      </w:r>
      <w:r w:rsidRPr="00BF3C93">
        <w:rPr>
          <w:rFonts w:ascii="ＭＳ 明朝" w:eastAsia="ＭＳ 明朝" w:hAnsi="ＭＳ 明朝"/>
          <w:szCs w:val="21"/>
        </w:rPr>
        <w:t>朴オリガ</w:t>
      </w:r>
      <w:r w:rsidR="00627C4F" w:rsidRPr="00627C4F">
        <w:rPr>
          <w:rFonts w:ascii="ＭＳ 明朝" w:eastAsia="ＭＳ 明朝" w:hAnsi="ＭＳ 明朝" w:hint="eastAsia"/>
          <w:szCs w:val="21"/>
          <w:lang w:eastAsia="ja-JP"/>
        </w:rPr>
        <w:t xml:space="preserve">　</w:t>
      </w:r>
      <w:r>
        <w:rPr>
          <w:rFonts w:ascii="ＭＳ 明朝" w:eastAsia="ＭＳ 明朝" w:hAnsi="ＭＳ 明朝" w:hint="eastAsia"/>
          <w:lang w:eastAsia="ja-JP"/>
        </w:rPr>
        <w:t>p.21</w:t>
      </w:r>
    </w:p>
    <w:p w14:paraId="2C0DF201" w14:textId="77777777" w:rsidR="003037DA" w:rsidRDefault="003037DA" w:rsidP="001C43F6">
      <w:pPr>
        <w:spacing w:line="0" w:lineRule="atLeast"/>
        <w:ind w:right="1050"/>
        <w:rPr>
          <w:rFonts w:ascii="游明朝" w:eastAsia="游明朝" w:hAnsi="游明朝"/>
          <w:lang w:eastAsia="ja-JP"/>
        </w:rPr>
      </w:pPr>
    </w:p>
    <w:p w14:paraId="09FDCB85" w14:textId="77777777" w:rsidR="00BF3C93" w:rsidRDefault="00BF3C93" w:rsidP="001C43F6">
      <w:pPr>
        <w:spacing w:line="0" w:lineRule="atLeast"/>
        <w:ind w:right="1050"/>
        <w:rPr>
          <w:rFonts w:ascii="游明朝" w:eastAsia="游明朝" w:hAnsi="游明朝"/>
          <w:lang w:eastAsia="ja-JP"/>
        </w:rPr>
      </w:pPr>
    </w:p>
    <w:p w14:paraId="687553C1" w14:textId="77777777" w:rsidR="00BF3C93" w:rsidRDefault="00BF3C93" w:rsidP="001C43F6">
      <w:pPr>
        <w:spacing w:line="0" w:lineRule="atLeast"/>
        <w:ind w:right="1050"/>
        <w:rPr>
          <w:rFonts w:ascii="游明朝" w:eastAsia="游明朝" w:hAnsi="游明朝"/>
          <w:lang w:eastAsia="ja-JP"/>
        </w:rPr>
      </w:pPr>
    </w:p>
    <w:p w14:paraId="1AFCF66E" w14:textId="77777777" w:rsidR="00627C4F" w:rsidRDefault="00627C4F" w:rsidP="001C43F6">
      <w:pPr>
        <w:spacing w:line="0" w:lineRule="atLeast"/>
        <w:ind w:right="1050"/>
        <w:rPr>
          <w:rFonts w:ascii="游明朝" w:eastAsia="游明朝" w:hAnsi="游明朝" w:hint="eastAsia"/>
          <w:lang w:eastAsia="ja-JP"/>
        </w:rPr>
      </w:pPr>
    </w:p>
    <w:p w14:paraId="410A4165" w14:textId="77777777" w:rsidR="00CE4D60" w:rsidRDefault="00CE4D60" w:rsidP="001C43F6">
      <w:pPr>
        <w:spacing w:line="0" w:lineRule="atLeast"/>
        <w:ind w:right="1050"/>
        <w:rPr>
          <w:rFonts w:ascii="游明朝" w:eastAsia="游明朝" w:hAnsi="游明朝" w:hint="eastAsia"/>
          <w:lang w:eastAsia="ja-JP"/>
        </w:rPr>
      </w:pPr>
    </w:p>
    <w:p w14:paraId="417B8740" w14:textId="77777777" w:rsidR="00CE4D60" w:rsidRDefault="00CE4D60" w:rsidP="001C43F6">
      <w:pPr>
        <w:spacing w:line="0" w:lineRule="atLeast"/>
        <w:ind w:right="1050"/>
        <w:rPr>
          <w:rFonts w:ascii="游明朝" w:eastAsia="游明朝" w:hAnsi="游明朝" w:hint="eastAsia"/>
          <w:lang w:eastAsia="ja-JP"/>
        </w:rPr>
      </w:pPr>
    </w:p>
    <w:p w14:paraId="77E5E9E9" w14:textId="77777777" w:rsidR="008232E1" w:rsidRPr="00F259E3" w:rsidRDefault="008232E1" w:rsidP="008232E1">
      <w:pPr>
        <w:spacing w:line="0" w:lineRule="atLeast"/>
        <w:jc w:val="center"/>
        <w:rPr>
          <w:rFonts w:ascii="游明朝" w:eastAsia="游明朝" w:hAnsi="游明朝"/>
          <w:sz w:val="24"/>
          <w:szCs w:val="24"/>
          <w:lang w:eastAsia="ja-JP"/>
        </w:rPr>
      </w:pPr>
      <w:r w:rsidRPr="00F259E3">
        <w:rPr>
          <w:rFonts w:ascii="游明朝" w:eastAsia="游明朝" w:hAnsi="游明朝" w:hint="eastAsia"/>
          <w:sz w:val="24"/>
          <w:szCs w:val="24"/>
          <w:lang w:eastAsia="ja-JP"/>
        </w:rPr>
        <w:lastRenderedPageBreak/>
        <w:t>日本文化産業の海外進出</w:t>
      </w:r>
    </w:p>
    <w:p w14:paraId="4A4B9444" w14:textId="77777777" w:rsidR="008232E1" w:rsidRPr="00F259E3" w:rsidRDefault="008232E1" w:rsidP="008232E1">
      <w:pPr>
        <w:spacing w:line="0" w:lineRule="atLeast"/>
        <w:jc w:val="center"/>
        <w:rPr>
          <w:rFonts w:ascii="游明朝" w:eastAsia="游明朝" w:hAnsi="游明朝"/>
          <w:sz w:val="24"/>
          <w:szCs w:val="24"/>
          <w:lang w:eastAsia="ja-JP"/>
        </w:rPr>
      </w:pPr>
      <w:r w:rsidRPr="00F259E3">
        <w:rPr>
          <w:rFonts w:ascii="游明朝" w:eastAsia="游明朝" w:hAnsi="游明朝" w:hint="eastAsia"/>
          <w:sz w:val="24"/>
          <w:szCs w:val="24"/>
          <w:lang w:eastAsia="ja-JP"/>
        </w:rPr>
        <w:t>——日本文化産業の海外売上が低い問題についての分析——</w:t>
      </w:r>
    </w:p>
    <w:p w14:paraId="208888AC" w14:textId="749B6E7F" w:rsidR="00F259E3" w:rsidRDefault="008C6DFD" w:rsidP="008C6DFD">
      <w:pPr>
        <w:spacing w:line="0" w:lineRule="atLeast"/>
        <w:jc w:val="right"/>
        <w:rPr>
          <w:rFonts w:ascii="游明朝" w:eastAsia="游明朝" w:hAnsi="游明朝"/>
          <w:szCs w:val="21"/>
          <w:lang w:eastAsia="ja-JP"/>
        </w:rPr>
      </w:pPr>
      <w:r w:rsidRPr="00F259E3">
        <w:rPr>
          <w:rFonts w:ascii="游明朝" w:eastAsia="游明朝" w:hAnsi="游明朝"/>
          <w:lang w:eastAsia="ja-JP"/>
        </w:rPr>
        <w:t>PANG DI</w:t>
      </w:r>
    </w:p>
    <w:p w14:paraId="21CDA068" w14:textId="0403CAD2" w:rsidR="00F259E3" w:rsidRPr="00537DC7"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t>１.初めに</w:t>
      </w:r>
    </w:p>
    <w:p w14:paraId="688F69A1" w14:textId="77777777" w:rsidR="00F259E3" w:rsidRPr="00537DC7" w:rsidRDefault="00F259E3" w:rsidP="00F259E3">
      <w:pPr>
        <w:spacing w:line="0" w:lineRule="atLeast"/>
        <w:ind w:firstLineChars="100" w:firstLine="210"/>
        <w:jc w:val="left"/>
        <w:rPr>
          <w:rFonts w:ascii="游明朝" w:eastAsia="游明朝" w:hAnsi="游明朝"/>
          <w:szCs w:val="21"/>
          <w:lang w:eastAsia="ja-JP"/>
        </w:rPr>
      </w:pPr>
      <w:bookmarkStart w:id="1" w:name="_Hlk499535997"/>
      <w:r w:rsidRPr="00537DC7">
        <w:rPr>
          <w:rFonts w:ascii="游明朝" w:eastAsia="游明朝" w:hAnsi="游明朝" w:hint="eastAsia"/>
          <w:szCs w:val="21"/>
          <w:lang w:eastAsia="ja-JP"/>
        </w:rPr>
        <w:t>長い歴史の中で、日本の文化は伝統的な「和式」のものと西洋から来た「洋式」のものがうまく融合されている。京都を代表とする昔ながらものでも、東京や大阪ではやっているモダンライフでも世界中の人々にとって独特な魅力がある。このような豊富な文化が日本の文化資源であり、貴重な財産である。</w:t>
      </w:r>
    </w:p>
    <w:p w14:paraId="60D43A00" w14:textId="4961B6BE" w:rsidR="00F259E3" w:rsidRPr="00537DC7" w:rsidRDefault="00F259E3" w:rsidP="00F259E3">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しかし、日本文化は世界中で人気が高いが、文化産業は海外での利益が比較的低いことが問題となっている。ユネスコとGATTによれば、文化産業とは、文化的であり、知的財産権によって保護されている財・サービスの生産（創造）と流通を担う産業のことである。日本では、「コンテンツ産業」と呼ばれている場合が多い。文化産業は、内容の表現形式により、テキストソフト、映像系ソフトと音声系ソフトの三種類に分けられている。その中で海外進出に大きく関わっているのは、主に音楽、テレビ、映画、出版、デザイン、ビデオゲーム、観光である。コンテンツ産業の2014年の市場規模は図１の通りだ。</w:t>
      </w:r>
    </w:p>
    <w:p w14:paraId="48C1FD26" w14:textId="328AF243" w:rsidR="00F259E3" w:rsidRPr="00367BA0" w:rsidRDefault="00F259E3" w:rsidP="00F259E3">
      <w:pPr>
        <w:pStyle w:val="a3"/>
        <w:spacing w:line="0" w:lineRule="atLeast"/>
        <w:ind w:left="420" w:firstLineChars="100" w:firstLine="160"/>
        <w:jc w:val="center"/>
        <w:rPr>
          <w:rFonts w:ascii="游明朝" w:eastAsia="游明朝" w:hAnsi="游明朝"/>
          <w:sz w:val="16"/>
          <w:szCs w:val="16"/>
          <w:lang w:eastAsia="ja-JP"/>
        </w:rPr>
      </w:pPr>
      <w:r w:rsidRPr="00330A5F">
        <w:rPr>
          <w:rFonts w:ascii="游明朝" w:eastAsia="游明朝" w:hAnsi="游明朝" w:hint="eastAsia"/>
          <w:sz w:val="16"/>
          <w:szCs w:val="16"/>
          <w:lang w:eastAsia="ja-JP"/>
        </w:rPr>
        <w:t>図１</w:t>
      </w:r>
      <w:r w:rsidR="00367BA0">
        <w:rPr>
          <w:rFonts w:asciiTheme="minorEastAsia" w:hAnsiTheme="minorEastAsia" w:hint="eastAsia"/>
          <w:sz w:val="16"/>
          <w:szCs w:val="16"/>
          <w:lang w:eastAsia="ja-JP"/>
        </w:rPr>
        <w:t>.</w:t>
      </w:r>
      <w:r w:rsidR="00367BA0">
        <w:rPr>
          <w:rFonts w:asciiTheme="minorEastAsia" w:eastAsia="游明朝" w:hAnsiTheme="minorEastAsia" w:hint="eastAsia"/>
          <w:sz w:val="16"/>
          <w:szCs w:val="16"/>
          <w:lang w:eastAsia="ja-JP"/>
        </w:rPr>
        <w:t>日本のコンテンツ産業の市場規模（</w:t>
      </w:r>
      <w:r w:rsidR="00367BA0">
        <w:rPr>
          <w:rFonts w:asciiTheme="minorEastAsia" w:eastAsia="游明朝" w:hAnsiTheme="minorEastAsia" w:hint="eastAsia"/>
          <w:sz w:val="16"/>
          <w:szCs w:val="16"/>
          <w:lang w:eastAsia="ja-JP"/>
        </w:rPr>
        <w:t>2014</w:t>
      </w:r>
      <w:r w:rsidR="00367BA0">
        <w:rPr>
          <w:rFonts w:asciiTheme="minorEastAsia" w:eastAsia="游明朝" w:hAnsiTheme="minorEastAsia" w:hint="eastAsia"/>
          <w:sz w:val="16"/>
          <w:szCs w:val="16"/>
          <w:lang w:eastAsia="ja-JP"/>
        </w:rPr>
        <w:t>年）</w:t>
      </w:r>
    </w:p>
    <w:p w14:paraId="55196AE7" w14:textId="6FF83050" w:rsidR="00F259E3" w:rsidRPr="00537DC7" w:rsidRDefault="00F259E3" w:rsidP="00F259E3">
      <w:pPr>
        <w:pStyle w:val="a3"/>
        <w:spacing w:line="0" w:lineRule="atLeast"/>
        <w:ind w:left="420" w:firstLineChars="100" w:firstLine="210"/>
        <w:jc w:val="center"/>
        <w:rPr>
          <w:rFonts w:ascii="游明朝" w:eastAsia="游明朝" w:hAnsi="游明朝"/>
          <w:szCs w:val="21"/>
          <w:lang w:eastAsia="ja-JP"/>
        </w:rPr>
      </w:pPr>
      <w:r w:rsidRPr="00537DC7">
        <w:rPr>
          <w:rFonts w:ascii="游明朝" w:eastAsia="游明朝" w:hAnsi="游明朝"/>
          <w:noProof/>
          <w:szCs w:val="21"/>
          <w:lang w:eastAsia="ja-JP"/>
        </w:rPr>
        <w:drawing>
          <wp:inline distT="0" distB="0" distL="0" distR="0" wp14:anchorId="2F0E1834" wp14:editId="4AC35DC7">
            <wp:extent cx="3971925" cy="29337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933700"/>
                    </a:xfrm>
                    <a:prstGeom prst="rect">
                      <a:avLst/>
                    </a:prstGeom>
                    <a:noFill/>
                    <a:ln>
                      <a:noFill/>
                    </a:ln>
                  </pic:spPr>
                </pic:pic>
              </a:graphicData>
            </a:graphic>
          </wp:inline>
        </w:drawing>
      </w:r>
    </w:p>
    <w:p w14:paraId="4B27006D" w14:textId="623C77EB" w:rsidR="00F259E3" w:rsidRPr="000E269A" w:rsidRDefault="000E269A" w:rsidP="000E269A">
      <w:pPr>
        <w:pStyle w:val="a3"/>
        <w:spacing w:line="0" w:lineRule="atLeast"/>
        <w:ind w:left="420" w:right="480" w:firstLineChars="100" w:firstLine="160"/>
        <w:jc w:val="right"/>
        <w:rPr>
          <w:rFonts w:ascii="游明朝" w:eastAsia="PMingLiU" w:hAnsi="游明朝"/>
          <w:sz w:val="16"/>
          <w:szCs w:val="16"/>
          <w:lang w:eastAsia="zh-TW"/>
        </w:rPr>
      </w:pPr>
      <w:r>
        <w:rPr>
          <w:rFonts w:ascii="游明朝" w:eastAsia="游明朝" w:hAnsi="游明朝" w:hint="eastAsia"/>
          <w:sz w:val="16"/>
          <w:szCs w:val="16"/>
          <w:lang w:eastAsia="zh-TW"/>
        </w:rPr>
        <w:t>出典：</w:t>
      </w:r>
      <w:r w:rsidR="00F259E3" w:rsidRPr="00330A5F">
        <w:rPr>
          <w:rFonts w:ascii="游明朝" w:eastAsia="游明朝" w:hAnsi="游明朝" w:hint="eastAsia"/>
          <w:sz w:val="16"/>
          <w:szCs w:val="16"/>
          <w:lang w:eastAsia="zh-TW"/>
        </w:rPr>
        <w:t>日本総務省</w:t>
      </w:r>
      <w:r>
        <w:rPr>
          <w:rFonts w:asciiTheme="minorEastAsia" w:eastAsia="游明朝" w:hAnsiTheme="minorEastAsia" w:hint="eastAsia"/>
          <w:sz w:val="16"/>
          <w:szCs w:val="16"/>
          <w:lang w:eastAsia="zh-TW"/>
        </w:rPr>
        <w:t>「</w:t>
      </w:r>
      <w:r w:rsidR="00F259E3" w:rsidRPr="00330A5F">
        <w:rPr>
          <w:rFonts w:ascii="游明朝" w:eastAsia="游明朝" w:hAnsi="游明朝" w:hint="eastAsia"/>
          <w:sz w:val="16"/>
          <w:szCs w:val="16"/>
          <w:lang w:eastAsia="zh-TW"/>
        </w:rPr>
        <w:t>情報通信白書</w:t>
      </w:r>
      <w:r>
        <w:rPr>
          <w:rFonts w:ascii="游明朝" w:eastAsia="游明朝" w:hAnsi="游明朝" w:hint="eastAsia"/>
          <w:sz w:val="16"/>
          <w:szCs w:val="16"/>
          <w:lang w:eastAsia="zh-TW"/>
        </w:rPr>
        <w:t>」</w:t>
      </w:r>
      <w:r w:rsidRPr="00330A5F">
        <w:rPr>
          <w:rFonts w:ascii="游明朝" w:eastAsia="游明朝" w:hAnsi="游明朝" w:hint="eastAsia"/>
          <w:sz w:val="16"/>
          <w:szCs w:val="16"/>
          <w:lang w:eastAsia="zh-TW"/>
        </w:rPr>
        <w:t>（ 2014 年）</w:t>
      </w:r>
    </w:p>
    <w:p w14:paraId="32482DA4" w14:textId="1B6F434E" w:rsidR="00F259E3" w:rsidRPr="00537DC7" w:rsidRDefault="00F259E3" w:rsidP="00F259E3">
      <w:pPr>
        <w:spacing w:line="0" w:lineRule="atLeast"/>
        <w:ind w:firstLineChars="100" w:firstLine="210"/>
        <w:rPr>
          <w:rFonts w:ascii="游明朝" w:eastAsia="游明朝" w:hAnsi="游明朝"/>
          <w:szCs w:val="21"/>
          <w:lang w:eastAsia="ja-JP"/>
        </w:rPr>
      </w:pPr>
      <w:r w:rsidRPr="00537DC7">
        <w:rPr>
          <w:rFonts w:ascii="游明朝" w:eastAsia="游明朝" w:hAnsi="游明朝" w:hint="eastAsia"/>
          <w:szCs w:val="21"/>
          <w:lang w:eastAsia="ja-JP"/>
        </w:rPr>
        <w:t>日本には豊富な文化資源があり、数えきれないほどの独特な文化財産があるにもかかわらず、観光産業や任天堂のような娯楽産業以外には、文化産業の海外進出の成果はさほど目立ったものはない。</w:t>
      </w:r>
      <w:r w:rsidR="00367BA0" w:rsidRPr="00367BA0">
        <w:rPr>
          <w:rFonts w:ascii="游明朝" w:eastAsia="游明朝" w:hAnsi="游明朝" w:hint="eastAsia"/>
          <w:szCs w:val="21"/>
          <w:lang w:eastAsia="ja-JP"/>
        </w:rPr>
        <w:t>日本文化は世界中で人気が高いが、文化産業は海外での利益が比較的低いことが問題となっている</w:t>
      </w:r>
      <w:r w:rsidR="00367BA0">
        <w:rPr>
          <w:rFonts w:ascii="游明朝" w:eastAsia="游明朝" w:hAnsi="游明朝" w:hint="eastAsia"/>
          <w:szCs w:val="21"/>
          <w:lang w:eastAsia="ja-JP"/>
        </w:rPr>
        <w:t>。</w:t>
      </w:r>
    </w:p>
    <w:bookmarkEnd w:id="1"/>
    <w:p w14:paraId="160BB077" w14:textId="77777777" w:rsidR="00F259E3" w:rsidRDefault="00F259E3" w:rsidP="00F259E3">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時代の発展につれて、世界中で技術革新は急激に推進され、日本は製造業における優位性を失う傾向がある。そのため、日本特有の文化産業に注目し、文化産業の海外市場を開拓することが重要になるだろう。本レポートでは、文化産業の関連企業は積極的に海外進出を推し進めるべきだと主張する。</w:t>
      </w:r>
    </w:p>
    <w:p w14:paraId="1F901744" w14:textId="77777777" w:rsidR="001A4A39" w:rsidRPr="00537DC7" w:rsidRDefault="001A4A39" w:rsidP="00F259E3">
      <w:pPr>
        <w:spacing w:line="0" w:lineRule="atLeast"/>
        <w:ind w:firstLineChars="100" w:firstLine="210"/>
        <w:jc w:val="left"/>
        <w:rPr>
          <w:rFonts w:ascii="游明朝" w:eastAsia="游明朝" w:hAnsi="游明朝"/>
          <w:szCs w:val="21"/>
          <w:lang w:eastAsia="ja-JP"/>
        </w:rPr>
      </w:pPr>
    </w:p>
    <w:p w14:paraId="597D8E6F" w14:textId="77777777" w:rsidR="00F259E3" w:rsidRPr="00537DC7"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lastRenderedPageBreak/>
        <w:t>２.海外における文化産業の売上が低い現状</w:t>
      </w:r>
    </w:p>
    <w:p w14:paraId="40CE23EC" w14:textId="694B96E3" w:rsidR="00F259E3" w:rsidRPr="00537DC7"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t xml:space="preserve">　表</w:t>
      </w:r>
      <w:r w:rsidR="00367BA0">
        <w:rPr>
          <w:rFonts w:ascii="游明朝" w:eastAsia="游明朝" w:hAnsi="游明朝" w:hint="eastAsia"/>
          <w:szCs w:val="21"/>
          <w:lang w:eastAsia="ja-JP"/>
        </w:rPr>
        <w:t>１</w:t>
      </w:r>
      <w:r w:rsidRPr="00537DC7">
        <w:rPr>
          <w:rFonts w:ascii="游明朝" w:eastAsia="游明朝" w:hAnsi="游明朝" w:hint="eastAsia"/>
          <w:szCs w:val="21"/>
          <w:lang w:eastAsia="ja-JP"/>
        </w:rPr>
        <w:t>を見ると、2000年の日本コンテンツ産業の海外売上規模はコンテンツ産業全体の3%にすぎないことがわかる。日本の総額4.9兆ドルの名目GDPに比べると、31億ドルに過ぎない海外生産高は非常に少ないと言えるだろう。また、コンテンツ産業の売上が日本のGDPの2％にとどまり、世界平均水準の3％より低い。それに対して、コンテンツ産業が国の名目GDPの5%を占めているアメリカの海外売上規模はコンテンツ産業の17％に達している。日本はアメリカより歴史は長いが、文化産業の海外進出の展開は遅い。</w:t>
      </w:r>
    </w:p>
    <w:p w14:paraId="67B11687" w14:textId="77777777" w:rsidR="00330A5F" w:rsidRDefault="00330A5F" w:rsidP="00F259E3">
      <w:pPr>
        <w:spacing w:line="0" w:lineRule="atLeast"/>
        <w:jc w:val="center"/>
        <w:rPr>
          <w:rFonts w:ascii="游明朝" w:eastAsia="游明朝" w:hAnsi="游明朝"/>
          <w:sz w:val="16"/>
          <w:szCs w:val="16"/>
          <w:lang w:eastAsia="ja-JP"/>
        </w:rPr>
      </w:pPr>
    </w:p>
    <w:p w14:paraId="3F44E848" w14:textId="0B0C0D21" w:rsidR="00F259E3" w:rsidRPr="00330A5F" w:rsidRDefault="00367BA0" w:rsidP="00F259E3">
      <w:pPr>
        <w:spacing w:line="0" w:lineRule="atLeast"/>
        <w:jc w:val="center"/>
        <w:rPr>
          <w:rFonts w:ascii="游明朝" w:eastAsia="游明朝" w:hAnsi="游明朝"/>
          <w:sz w:val="16"/>
          <w:szCs w:val="16"/>
          <w:lang w:eastAsia="ja-JP"/>
        </w:rPr>
      </w:pPr>
      <w:r>
        <w:rPr>
          <w:rFonts w:ascii="游明朝" w:eastAsia="游明朝" w:hAnsi="游明朝" w:hint="eastAsia"/>
          <w:sz w:val="16"/>
          <w:szCs w:val="16"/>
          <w:lang w:eastAsia="ja-JP"/>
        </w:rPr>
        <w:t>表１</w:t>
      </w:r>
      <w:r w:rsidR="00F259E3" w:rsidRPr="00330A5F">
        <w:rPr>
          <w:rFonts w:ascii="游明朝" w:eastAsia="游明朝" w:hAnsi="游明朝" w:hint="eastAsia"/>
          <w:sz w:val="16"/>
          <w:szCs w:val="16"/>
          <w:lang w:eastAsia="ja-JP"/>
        </w:rPr>
        <w:t>（注１）</w:t>
      </w:r>
    </w:p>
    <w:p w14:paraId="518FD9F0" w14:textId="77777777" w:rsidR="00F259E3" w:rsidRPr="00537DC7" w:rsidRDefault="00F259E3" w:rsidP="00F259E3">
      <w:pPr>
        <w:spacing w:line="0" w:lineRule="atLeast"/>
        <w:jc w:val="center"/>
        <w:rPr>
          <w:rFonts w:ascii="游明朝" w:eastAsia="游明朝" w:hAnsi="游明朝"/>
          <w:szCs w:val="21"/>
          <w:lang w:eastAsia="ja-JP"/>
        </w:rPr>
      </w:pPr>
      <w:r w:rsidRPr="00537DC7">
        <w:rPr>
          <w:rFonts w:ascii="游明朝" w:eastAsia="游明朝" w:hAnsi="游明朝"/>
          <w:noProof/>
          <w:szCs w:val="21"/>
          <w:lang w:eastAsia="ja-JP"/>
        </w:rPr>
        <w:drawing>
          <wp:inline distT="0" distB="0" distL="0" distR="0" wp14:anchorId="43F181CC" wp14:editId="230D352B">
            <wp:extent cx="5276850" cy="397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971925"/>
                    </a:xfrm>
                    <a:prstGeom prst="rect">
                      <a:avLst/>
                    </a:prstGeom>
                    <a:noFill/>
                    <a:ln>
                      <a:noFill/>
                    </a:ln>
                  </pic:spPr>
                </pic:pic>
              </a:graphicData>
            </a:graphic>
          </wp:inline>
        </w:drawing>
      </w:r>
    </w:p>
    <w:p w14:paraId="16A8A67B" w14:textId="77777777" w:rsidR="00F259E3" w:rsidRPr="00537DC7"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t>３.海外進出の必要性</w:t>
      </w:r>
    </w:p>
    <w:p w14:paraId="5F076B70" w14:textId="04386C9D" w:rsidR="00F259E3" w:rsidRPr="00537DC7" w:rsidRDefault="00F259E3" w:rsidP="00F259E3">
      <w:pPr>
        <w:spacing w:line="0" w:lineRule="atLeast"/>
        <w:ind w:firstLineChars="100" w:firstLine="210"/>
        <w:rPr>
          <w:rFonts w:ascii="游明朝" w:eastAsia="游明朝" w:hAnsi="游明朝"/>
          <w:szCs w:val="21"/>
          <w:lang w:eastAsia="ja-JP"/>
        </w:rPr>
      </w:pPr>
      <w:r w:rsidRPr="00537DC7">
        <w:rPr>
          <w:rFonts w:ascii="游明朝" w:eastAsia="游明朝" w:hAnsi="游明朝" w:hint="eastAsia"/>
          <w:szCs w:val="21"/>
          <w:lang w:eastAsia="ja-JP"/>
        </w:rPr>
        <w:t>一方、海外市場を開拓するための初期費用が高く、海外での売上も短期では上げられないため、海外市場より国内市場を重視すべきだという意見もある。確かに、海外市場を開拓するための</w:t>
      </w:r>
      <w:r w:rsidR="00367BA0">
        <w:rPr>
          <w:rFonts w:ascii="游明朝" w:eastAsia="游明朝" w:hAnsi="游明朝" w:hint="eastAsia"/>
          <w:szCs w:val="21"/>
          <w:lang w:eastAsia="ja-JP"/>
        </w:rPr>
        <w:t>事前</w:t>
      </w:r>
      <w:r w:rsidRPr="00537DC7">
        <w:rPr>
          <w:rFonts w:ascii="游明朝" w:eastAsia="游明朝" w:hAnsi="游明朝" w:hint="eastAsia"/>
          <w:szCs w:val="21"/>
          <w:lang w:eastAsia="ja-JP"/>
        </w:rPr>
        <w:t>準備が多く、初期費用が高いのは事実である。海外市場の情報収集と市場調査にかかるコストはもちろん、商品開発と戦略設定にかかる人件費や海外支部の設置などのコストもある。</w:t>
      </w:r>
      <w:r w:rsidR="00FE4EC6">
        <w:rPr>
          <w:rFonts w:ascii="游明朝" w:eastAsia="游明朝" w:hAnsi="游明朝" w:hint="eastAsia"/>
          <w:szCs w:val="21"/>
          <w:lang w:eastAsia="ja-JP"/>
        </w:rPr>
        <w:t>海外進出事業が始また直後に生じる様々なコストと国内市場シェアが縮小する恐れは海外進出のデメリットであり、本レポートの主張の限界である。</w:t>
      </w:r>
    </w:p>
    <w:p w14:paraId="3AB18EB7" w14:textId="6EFD3C94" w:rsidR="00F259E3" w:rsidRPr="00537DC7" w:rsidRDefault="00F259E3" w:rsidP="00FE4EC6">
      <w:pPr>
        <w:spacing w:line="0" w:lineRule="atLeast"/>
        <w:ind w:firstLineChars="100" w:firstLine="210"/>
        <w:rPr>
          <w:rFonts w:ascii="游明朝" w:eastAsia="游明朝" w:hAnsi="游明朝"/>
          <w:szCs w:val="21"/>
          <w:lang w:eastAsia="ja-JP"/>
        </w:rPr>
      </w:pPr>
      <w:r w:rsidRPr="00537DC7">
        <w:rPr>
          <w:rFonts w:ascii="游明朝" w:eastAsia="游明朝" w:hAnsi="游明朝" w:hint="eastAsia"/>
          <w:szCs w:val="21"/>
          <w:lang w:eastAsia="ja-JP"/>
        </w:rPr>
        <w:t>しかし、現在文化輸出大国であるアメリカと韓国以外、文化産業を海外進出させる国は少ない。ほぼ未</w:t>
      </w:r>
      <w:r w:rsidR="00367BA0">
        <w:rPr>
          <w:rFonts w:ascii="游明朝" w:eastAsia="游明朝" w:hAnsi="游明朝" w:hint="eastAsia"/>
          <w:szCs w:val="21"/>
          <w:lang w:eastAsia="ja-JP"/>
        </w:rPr>
        <w:t>開拓</w:t>
      </w:r>
      <w:r w:rsidRPr="00537DC7">
        <w:rPr>
          <w:rFonts w:ascii="游明朝" w:eastAsia="游明朝" w:hAnsi="游明朝" w:hint="eastAsia"/>
          <w:szCs w:val="21"/>
          <w:lang w:eastAsia="ja-JP"/>
        </w:rPr>
        <w:t>状態である海外市場に進出することで、企業の利益は長期的に大きく増加する見込みがある</w:t>
      </w:r>
      <w:r w:rsidR="00FE4EC6">
        <w:rPr>
          <w:rFonts w:ascii="游明朝" w:eastAsia="游明朝" w:hAnsi="游明朝" w:hint="eastAsia"/>
          <w:szCs w:val="21"/>
          <w:lang w:eastAsia="ja-JP"/>
        </w:rPr>
        <w:t>。</w:t>
      </w:r>
      <w:r w:rsidR="00B23E96">
        <w:rPr>
          <w:rFonts w:ascii="游明朝" w:eastAsia="游明朝" w:hAnsi="游明朝" w:hint="eastAsia"/>
          <w:szCs w:val="21"/>
          <w:lang w:eastAsia="ja-JP"/>
        </w:rPr>
        <w:t>ジェトロ</w:t>
      </w:r>
      <w:r w:rsidR="00FE4EC6">
        <w:rPr>
          <w:rFonts w:ascii="游明朝" w:eastAsia="游明朝" w:hAnsi="游明朝" w:hint="eastAsia"/>
          <w:szCs w:val="21"/>
          <w:lang w:eastAsia="ja-JP"/>
        </w:rPr>
        <w:t>（2011）</w:t>
      </w:r>
      <w:r w:rsidR="00B23E96" w:rsidRPr="00B23E96">
        <w:rPr>
          <w:rFonts w:ascii="游明朝" w:eastAsia="游明朝" w:hAnsi="游明朝" w:hint="eastAsia"/>
          <w:sz w:val="16"/>
          <w:szCs w:val="16"/>
          <w:lang w:eastAsia="ja-JP"/>
        </w:rPr>
        <w:t>（注２）</w:t>
      </w:r>
      <w:r w:rsidR="00B23E96">
        <w:rPr>
          <w:rFonts w:ascii="游明朝" w:eastAsia="游明朝" w:hAnsi="游明朝" w:hint="eastAsia"/>
          <w:szCs w:val="21"/>
          <w:lang w:eastAsia="ja-JP"/>
        </w:rPr>
        <w:t>は</w:t>
      </w:r>
      <w:r w:rsidR="00FE4EC6">
        <w:rPr>
          <w:rFonts w:ascii="游明朝" w:eastAsia="游明朝" w:hAnsi="游明朝" w:hint="eastAsia"/>
          <w:szCs w:val="21"/>
          <w:lang w:eastAsia="ja-JP"/>
        </w:rPr>
        <w:t>、「</w:t>
      </w:r>
      <w:r w:rsidR="00FE4EC6" w:rsidRPr="00FE4EC6">
        <w:rPr>
          <w:rFonts w:ascii="游明朝" w:eastAsia="游明朝" w:hAnsi="游明朝" w:hint="eastAsia"/>
          <w:szCs w:val="21"/>
          <w:lang w:eastAsia="ja-JP"/>
        </w:rPr>
        <w:t>テレビ番組、音楽、映画など多方面にわたる韓流は、韓国企業の国際競争力向上、新たな付加価値の創出、韓国商品の販売</w:t>
      </w:r>
      <w:r w:rsidR="00FE4EC6" w:rsidRPr="00FE4EC6">
        <w:rPr>
          <w:rFonts w:ascii="游明朝" w:eastAsia="游明朝" w:hAnsi="游明朝" w:hint="eastAsia"/>
          <w:szCs w:val="21"/>
          <w:lang w:eastAsia="ja-JP"/>
        </w:rPr>
        <w:lastRenderedPageBreak/>
        <w:t>増加などの点から経済性を有するとされる。</w:t>
      </w:r>
      <w:r w:rsidR="00FE4EC6">
        <w:rPr>
          <w:rFonts w:ascii="游明朝" w:eastAsia="游明朝" w:hAnsi="游明朝" w:hint="eastAsia"/>
          <w:szCs w:val="21"/>
          <w:lang w:eastAsia="ja-JP"/>
        </w:rPr>
        <w:t>」</w:t>
      </w:r>
      <w:r w:rsidR="00B23E96">
        <w:rPr>
          <w:rFonts w:ascii="游明朝" w:eastAsia="游明朝" w:hAnsi="游明朝" w:hint="eastAsia"/>
          <w:szCs w:val="21"/>
          <w:lang w:eastAsia="ja-JP"/>
        </w:rPr>
        <w:t>と述べている</w:t>
      </w:r>
      <w:r w:rsidR="00FE4EC6">
        <w:rPr>
          <w:rFonts w:ascii="游明朝" w:eastAsia="游明朝" w:hAnsi="游明朝" w:hint="eastAsia"/>
          <w:szCs w:val="21"/>
          <w:lang w:eastAsia="ja-JP"/>
        </w:rPr>
        <w:t>。韓国を例にすると、文化産業の発展は企業の利益が上昇するだけではなく、国</w:t>
      </w:r>
      <w:r w:rsidR="00B23E96">
        <w:rPr>
          <w:rFonts w:ascii="游明朝" w:eastAsia="游明朝" w:hAnsi="游明朝" w:hint="eastAsia"/>
          <w:szCs w:val="21"/>
          <w:lang w:eastAsia="ja-JP"/>
        </w:rPr>
        <w:t>にとっても様々なメリットがあるため、</w:t>
      </w:r>
      <w:r w:rsidRPr="00537DC7">
        <w:rPr>
          <w:rFonts w:ascii="游明朝" w:eastAsia="游明朝" w:hAnsi="游明朝" w:hint="eastAsia"/>
          <w:szCs w:val="21"/>
          <w:lang w:eastAsia="ja-JP"/>
        </w:rPr>
        <w:t>文化産業の関連企業は海外市場に注目すべきだと主張する。</w:t>
      </w:r>
    </w:p>
    <w:p w14:paraId="48BCD2F4" w14:textId="68A4D589" w:rsidR="00F259E3" w:rsidRDefault="00F259E3" w:rsidP="00F259E3">
      <w:pPr>
        <w:spacing w:line="0" w:lineRule="atLeast"/>
        <w:ind w:firstLineChars="100" w:firstLine="210"/>
        <w:rPr>
          <w:rFonts w:ascii="游明朝" w:eastAsia="游明朝" w:hAnsi="游明朝"/>
          <w:szCs w:val="21"/>
          <w:lang w:eastAsia="ja-JP"/>
        </w:rPr>
      </w:pPr>
      <w:r w:rsidRPr="00537DC7">
        <w:rPr>
          <w:rFonts w:ascii="游明朝" w:eastAsia="游明朝" w:hAnsi="游明朝" w:hint="eastAsia"/>
          <w:szCs w:val="21"/>
          <w:lang w:eastAsia="ja-JP"/>
        </w:rPr>
        <w:t>また、日本の輸出は第二次産業に頼っているが、中国やインドなどの技術開発の新興国が増え、日本は技術革新だけで国の優位性を保つことは難しくなっている。</w:t>
      </w:r>
      <w:r w:rsidR="00C168C3">
        <w:rPr>
          <w:rFonts w:ascii="游明朝" w:eastAsia="游明朝" w:hAnsi="游明朝" w:hint="eastAsia"/>
          <w:szCs w:val="21"/>
          <w:lang w:eastAsia="ja-JP"/>
        </w:rPr>
        <w:t>図2によって、日本の製造業の営業利益率が低下していることがわかる。</w:t>
      </w:r>
      <w:r w:rsidRPr="00537DC7">
        <w:rPr>
          <w:rFonts w:ascii="游明朝" w:eastAsia="游明朝" w:hAnsi="游明朝" w:hint="eastAsia"/>
          <w:szCs w:val="21"/>
          <w:lang w:eastAsia="ja-JP"/>
        </w:rPr>
        <w:t>エンゲル係数の低下につれて、人々の娯楽消費が増加しつつある現在では、単に工業製品を輸出することで日本のGDPを伸ばすことが困難であるため、日本政府も韓国政府のように文化産業の輸出に力を入れ、GDPを成長させるべきであろう。</w:t>
      </w:r>
    </w:p>
    <w:p w14:paraId="113800AD" w14:textId="6A65EB13" w:rsidR="00C168C3" w:rsidRPr="00C168C3" w:rsidRDefault="00C168C3" w:rsidP="00C168C3">
      <w:pPr>
        <w:spacing w:line="0" w:lineRule="atLeast"/>
        <w:ind w:firstLineChars="100" w:firstLine="160"/>
        <w:jc w:val="center"/>
        <w:rPr>
          <w:rFonts w:ascii="游明朝" w:eastAsia="游明朝" w:hAnsi="游明朝"/>
          <w:sz w:val="16"/>
          <w:szCs w:val="16"/>
          <w:lang w:eastAsia="ja-JP"/>
        </w:rPr>
      </w:pPr>
      <w:r w:rsidRPr="00C168C3">
        <w:rPr>
          <w:rFonts w:ascii="游明朝" w:eastAsia="游明朝" w:hAnsi="游明朝" w:hint="eastAsia"/>
          <w:sz w:val="16"/>
          <w:szCs w:val="16"/>
          <w:lang w:eastAsia="ja-JP"/>
        </w:rPr>
        <w:t>図２．各国</w:t>
      </w:r>
      <w:r>
        <w:rPr>
          <w:rFonts w:ascii="游明朝" w:eastAsia="游明朝" w:hAnsi="游明朝" w:hint="eastAsia"/>
          <w:sz w:val="16"/>
          <w:szCs w:val="16"/>
          <w:lang w:eastAsia="ja-JP"/>
        </w:rPr>
        <w:t>製造業</w:t>
      </w:r>
      <w:r w:rsidRPr="00C168C3">
        <w:rPr>
          <w:rFonts w:ascii="游明朝" w:eastAsia="游明朝" w:hAnsi="游明朝" w:hint="eastAsia"/>
          <w:sz w:val="16"/>
          <w:szCs w:val="16"/>
          <w:lang w:eastAsia="ja-JP"/>
        </w:rPr>
        <w:t>売上高営業利益率の推移（2014年）</w:t>
      </w:r>
    </w:p>
    <w:p w14:paraId="5ADC2984" w14:textId="286AD142" w:rsidR="00C168C3" w:rsidRPr="00537DC7" w:rsidRDefault="00C168C3" w:rsidP="00C168C3">
      <w:pPr>
        <w:spacing w:line="0" w:lineRule="atLeast"/>
        <w:ind w:firstLineChars="100" w:firstLine="210"/>
        <w:jc w:val="center"/>
        <w:rPr>
          <w:rFonts w:ascii="游明朝" w:eastAsia="游明朝" w:hAnsi="游明朝"/>
          <w:szCs w:val="21"/>
          <w:lang w:eastAsia="ja-JP"/>
        </w:rPr>
      </w:pPr>
      <w:r>
        <w:rPr>
          <w:rFonts w:ascii="游明朝" w:eastAsia="游明朝" w:hAnsi="游明朝"/>
          <w:noProof/>
          <w:szCs w:val="21"/>
          <w:lang w:eastAsia="ja-JP"/>
        </w:rPr>
        <w:drawing>
          <wp:inline distT="0" distB="0" distL="0" distR="0" wp14:anchorId="6FE847F4" wp14:editId="565CA01D">
            <wp:extent cx="5495467" cy="342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95467" cy="3429570"/>
                    </a:xfrm>
                    <a:prstGeom prst="rect">
                      <a:avLst/>
                    </a:prstGeom>
                    <a:noFill/>
                  </pic:spPr>
                </pic:pic>
              </a:graphicData>
            </a:graphic>
          </wp:inline>
        </w:drawing>
      </w:r>
    </w:p>
    <w:p w14:paraId="0EF5B7A1" w14:textId="77777777" w:rsidR="00F259E3" w:rsidRPr="00537DC7"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t>４.利益を上昇させる方法</w:t>
      </w:r>
    </w:p>
    <w:p w14:paraId="03925EEE" w14:textId="1A897F5B" w:rsidR="00F259E3" w:rsidRPr="00537DC7" w:rsidRDefault="00F259E3" w:rsidP="00F259E3">
      <w:pPr>
        <w:spacing w:line="0" w:lineRule="atLeast"/>
        <w:ind w:firstLineChars="100" w:firstLine="210"/>
        <w:rPr>
          <w:rFonts w:ascii="游明朝" w:eastAsia="游明朝" w:hAnsi="游明朝"/>
          <w:szCs w:val="21"/>
          <w:lang w:eastAsia="ja-JP"/>
        </w:rPr>
      </w:pPr>
      <w:r w:rsidRPr="00537DC7">
        <w:rPr>
          <w:rFonts w:ascii="游明朝" w:eastAsia="游明朝" w:hAnsi="游明朝" w:hint="eastAsia"/>
          <w:szCs w:val="21"/>
          <w:lang w:eastAsia="ja-JP"/>
        </w:rPr>
        <w:t>文化というものはもともと国や地域によって大きく異なっている。日本の文化産業の海外での利益を高くするために、まず文化の壁を超え</w:t>
      </w:r>
      <w:r w:rsidR="00367BA0">
        <w:rPr>
          <w:rFonts w:ascii="游明朝" w:eastAsia="游明朝" w:hAnsi="游明朝" w:hint="eastAsia"/>
          <w:szCs w:val="21"/>
          <w:lang w:eastAsia="ja-JP"/>
        </w:rPr>
        <w:t>る</w:t>
      </w:r>
      <w:r w:rsidRPr="00537DC7">
        <w:rPr>
          <w:rFonts w:ascii="游明朝" w:eastAsia="游明朝" w:hAnsi="游明朝" w:hint="eastAsia"/>
          <w:szCs w:val="21"/>
          <w:lang w:eastAsia="ja-JP"/>
        </w:rPr>
        <w:t>必要がある。輸出先国の文化によって経営戦略を調整しながら、日本の優れた文化を海外に輸出するのが一番重要なことだと思う。</w:t>
      </w:r>
    </w:p>
    <w:p w14:paraId="21506FDC" w14:textId="14AE43D6" w:rsidR="00F259E3" w:rsidRDefault="00F259E3" w:rsidP="00F259E3">
      <w:pPr>
        <w:spacing w:line="0" w:lineRule="atLeast"/>
        <w:rPr>
          <w:rFonts w:ascii="游明朝" w:eastAsia="游明朝" w:hAnsi="游明朝"/>
          <w:szCs w:val="21"/>
          <w:lang w:eastAsia="ja-JP"/>
        </w:rPr>
      </w:pPr>
      <w:r w:rsidRPr="00537DC7">
        <w:rPr>
          <w:rFonts w:ascii="游明朝" w:eastAsia="游明朝" w:hAnsi="游明朝" w:hint="eastAsia"/>
          <w:szCs w:val="21"/>
          <w:lang w:eastAsia="ja-JP"/>
        </w:rPr>
        <w:t xml:space="preserve">　一番典型的な例は、日本のアニメ産業だ。日本の文化産業の誇りとも言えるアニメ産業は海外でも知名度が高く、人気もあり、世界一といっても過言ではないが、</w:t>
      </w:r>
      <w:r w:rsidR="00876C89">
        <w:rPr>
          <w:rFonts w:ascii="游明朝" w:eastAsia="游明朝" w:hAnsi="游明朝" w:hint="eastAsia"/>
          <w:szCs w:val="21"/>
          <w:lang w:eastAsia="ja-JP"/>
        </w:rPr>
        <w:t>図2の分析によって、</w:t>
      </w:r>
      <w:r w:rsidRPr="00537DC7">
        <w:rPr>
          <w:rFonts w:ascii="游明朝" w:eastAsia="游明朝" w:hAnsi="游明朝" w:hint="eastAsia"/>
          <w:szCs w:val="21"/>
          <w:lang w:eastAsia="ja-JP"/>
        </w:rPr>
        <w:t>海外の売上は国内に比べると遥に少ない</w:t>
      </w:r>
      <w:r w:rsidR="00876C89">
        <w:rPr>
          <w:rFonts w:ascii="游明朝" w:eastAsia="游明朝" w:hAnsi="游明朝" w:hint="eastAsia"/>
          <w:szCs w:val="21"/>
          <w:lang w:eastAsia="ja-JP"/>
        </w:rPr>
        <w:t>ことがわかる。</w:t>
      </w:r>
    </w:p>
    <w:p w14:paraId="4BECF0E1" w14:textId="6CE70B30" w:rsidR="00876C89" w:rsidRPr="00876C89" w:rsidRDefault="00876C89" w:rsidP="00876C89">
      <w:pPr>
        <w:spacing w:line="0" w:lineRule="atLeast"/>
        <w:jc w:val="center"/>
        <w:rPr>
          <w:rFonts w:ascii="游明朝" w:eastAsia="游明朝" w:hAnsi="游明朝"/>
          <w:sz w:val="16"/>
          <w:szCs w:val="16"/>
          <w:lang w:eastAsia="ja-JP"/>
        </w:rPr>
      </w:pPr>
      <w:r w:rsidRPr="00876C89">
        <w:rPr>
          <w:rFonts w:ascii="游明朝" w:eastAsia="游明朝" w:hAnsi="游明朝" w:hint="eastAsia"/>
          <w:sz w:val="16"/>
          <w:szCs w:val="16"/>
          <w:lang w:eastAsia="ja-JP"/>
        </w:rPr>
        <w:t>図</w:t>
      </w:r>
      <w:r w:rsidR="00F75922">
        <w:rPr>
          <w:rFonts w:ascii="游明朝" w:eastAsia="游明朝" w:hAnsi="游明朝" w:hint="eastAsia"/>
          <w:sz w:val="16"/>
          <w:szCs w:val="16"/>
          <w:lang w:eastAsia="ja-JP"/>
        </w:rPr>
        <w:t>３</w:t>
      </w:r>
      <w:r w:rsidRPr="00876C89">
        <w:rPr>
          <w:rFonts w:ascii="游明朝" w:eastAsia="游明朝" w:hAnsi="游明朝" w:hint="eastAsia"/>
          <w:sz w:val="16"/>
          <w:szCs w:val="16"/>
          <w:lang w:eastAsia="ja-JP"/>
        </w:rPr>
        <w:t>．アニメーション制作会社の売上高合計推移</w:t>
      </w:r>
    </w:p>
    <w:p w14:paraId="3F02140D" w14:textId="4C5AA8DF" w:rsidR="00876C89" w:rsidRDefault="00876C89" w:rsidP="00876C89">
      <w:pPr>
        <w:spacing w:line="0" w:lineRule="atLeast"/>
        <w:jc w:val="center"/>
        <w:rPr>
          <w:rFonts w:ascii="游明朝" w:eastAsia="游明朝" w:hAnsi="游明朝"/>
          <w:szCs w:val="21"/>
          <w:lang w:eastAsia="ja-JP"/>
        </w:rPr>
      </w:pPr>
      <w:r w:rsidRPr="00876C89">
        <w:rPr>
          <w:rFonts w:ascii="游明朝" w:eastAsia="游明朝" w:hAnsi="游明朝" w:hint="eastAsia"/>
          <w:noProof/>
          <w:szCs w:val="21"/>
          <w:lang w:eastAsia="ja-JP"/>
        </w:rPr>
        <w:lastRenderedPageBreak/>
        <w:drawing>
          <wp:inline distT="0" distB="0" distL="0" distR="0" wp14:anchorId="1702F24F" wp14:editId="4F863DBE">
            <wp:extent cx="4276725" cy="4605704"/>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0811" cy="4610104"/>
                    </a:xfrm>
                    <a:prstGeom prst="rect">
                      <a:avLst/>
                    </a:prstGeom>
                    <a:noFill/>
                    <a:ln>
                      <a:noFill/>
                    </a:ln>
                  </pic:spPr>
                </pic:pic>
              </a:graphicData>
            </a:graphic>
          </wp:inline>
        </w:drawing>
      </w:r>
    </w:p>
    <w:p w14:paraId="4D0D4BE0" w14:textId="4B8B3D47" w:rsidR="00876C89" w:rsidRPr="00A558E7" w:rsidRDefault="00A558E7" w:rsidP="00A558E7">
      <w:pPr>
        <w:spacing w:line="0" w:lineRule="atLeast"/>
        <w:jc w:val="right"/>
        <w:rPr>
          <w:rFonts w:ascii="游明朝" w:eastAsia="游明朝" w:hAnsi="游明朝"/>
          <w:sz w:val="16"/>
          <w:szCs w:val="16"/>
          <w:lang w:eastAsia="ja-JP"/>
        </w:rPr>
      </w:pPr>
      <w:r w:rsidRPr="00A558E7">
        <w:rPr>
          <w:rFonts w:ascii="游明朝" w:eastAsia="游明朝" w:hAnsi="游明朝" w:hint="eastAsia"/>
          <w:sz w:val="16"/>
          <w:szCs w:val="16"/>
          <w:lang w:eastAsia="ja-JP"/>
        </w:rPr>
        <w:t>出典：みずほ銀行産業調査部『コンテンツ産業の展望』</w:t>
      </w:r>
      <w:r w:rsidRPr="00A558E7">
        <w:rPr>
          <w:rFonts w:ascii="游明朝" w:eastAsia="游明朝" w:hAnsi="游明朝"/>
          <w:sz w:val="16"/>
          <w:szCs w:val="16"/>
          <w:lang w:eastAsia="ja-JP"/>
        </w:rPr>
        <w:t>2014年</w:t>
      </w:r>
    </w:p>
    <w:p w14:paraId="25E00285" w14:textId="5249D06B" w:rsidR="00F259E3" w:rsidRPr="00537DC7" w:rsidRDefault="00F259E3" w:rsidP="00876C89">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日本のアニメと漫画が海外で生じた高人気と低売上高の現象の根本的な原因は、海外と日本がアニメと漫画に対する意識や態度の差異であると思う。アニメと漫画は日本人にとって、本と同じような存在</w:t>
      </w:r>
      <w:r w:rsidR="008E29FD">
        <w:rPr>
          <w:rFonts w:ascii="游明朝" w:eastAsia="游明朝" w:hAnsi="游明朝" w:hint="eastAsia"/>
          <w:szCs w:val="21"/>
          <w:lang w:eastAsia="ja-JP"/>
        </w:rPr>
        <w:t>だと思われ</w:t>
      </w:r>
      <w:r w:rsidRPr="00537DC7">
        <w:rPr>
          <w:rFonts w:ascii="游明朝" w:eastAsia="游明朝" w:hAnsi="游明朝" w:hint="eastAsia"/>
          <w:szCs w:val="21"/>
          <w:lang w:eastAsia="ja-JP"/>
        </w:rPr>
        <w:t>、子供から大人まで、すべての人に大きな影響力を持っている。しかし、海外では、「アニメと漫画はまだ成長していない子供たちのための商品」という考えが一般的である。海外で日本のアニメ産業の売上を支えている多くの消費者たちは購買力が低い青少年たちであるため、売上高を向上させるのは難しい。このような文化的差異があるため、いくら優秀な商品があっても、売上高を向上させられないと思う。</w:t>
      </w:r>
    </w:p>
    <w:p w14:paraId="1DCD799E" w14:textId="77777777" w:rsidR="00F259E3" w:rsidRPr="00537DC7" w:rsidRDefault="00F259E3" w:rsidP="00876C89">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この問題を解決するために、文化的差異に対して、正しい経営戦略を採用するのが重要である。例えば、インターネットとマスコミを通し、日本のアニメの良さを宣伝する。宣伝により、購買力の高い社会人たちに対しての日本のアニメ産業の知名度と認知度を向上させられれば、アニメ産業の営業額にいい影響を与えるだろう。</w:t>
      </w:r>
    </w:p>
    <w:p w14:paraId="6EBF58F2" w14:textId="77777777" w:rsidR="00F259E3" w:rsidRPr="00537DC7" w:rsidRDefault="00F259E3" w:rsidP="00876C89">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また、日本と海外の文化的差異の分析以外に、文化産業の海外進出が成功している国についての研究も必要である。世界知的財産権組織の調査データによると、2013年文化産業売り高が総GDPに占める比率一位はアメリカであり、第二位は韓国である。この二つの国は、第三位より明らかに比率が高い。</w:t>
      </w:r>
    </w:p>
    <w:p w14:paraId="3DC41EBF" w14:textId="3A701384" w:rsidR="00F259E3" w:rsidRPr="00330A5F" w:rsidRDefault="00F259E3" w:rsidP="00F259E3">
      <w:pPr>
        <w:spacing w:line="0" w:lineRule="atLeast"/>
        <w:ind w:firstLineChars="100" w:firstLine="160"/>
        <w:jc w:val="center"/>
        <w:rPr>
          <w:rFonts w:ascii="游明朝" w:eastAsia="游明朝" w:hAnsi="游明朝"/>
          <w:sz w:val="16"/>
          <w:szCs w:val="16"/>
          <w:lang w:eastAsia="ja-JP"/>
        </w:rPr>
      </w:pPr>
      <w:r w:rsidRPr="00330A5F">
        <w:rPr>
          <w:rFonts w:ascii="游明朝" w:eastAsia="游明朝" w:hAnsi="游明朝" w:hint="eastAsia"/>
          <w:sz w:val="16"/>
          <w:szCs w:val="16"/>
          <w:lang w:eastAsia="ja-JP"/>
        </w:rPr>
        <w:t>図</w:t>
      </w:r>
      <w:r w:rsidR="00F75922">
        <w:rPr>
          <w:rFonts w:ascii="游明朝" w:eastAsia="游明朝" w:hAnsi="游明朝" w:hint="eastAsia"/>
          <w:sz w:val="16"/>
          <w:szCs w:val="16"/>
          <w:lang w:eastAsia="ja-JP"/>
        </w:rPr>
        <w:t>４</w:t>
      </w:r>
      <w:r w:rsidRPr="00330A5F">
        <w:rPr>
          <w:rFonts w:ascii="游明朝" w:eastAsia="游明朝" w:hAnsi="游明朝" w:hint="eastAsia"/>
          <w:sz w:val="16"/>
          <w:szCs w:val="16"/>
          <w:lang w:eastAsia="ja-JP"/>
        </w:rPr>
        <w:t>．2013年文化産業売り高が総GDPに占める比率（注２）</w:t>
      </w:r>
    </w:p>
    <w:p w14:paraId="27DC4F58" w14:textId="1F625464" w:rsidR="00F259E3" w:rsidRDefault="00F259E3" w:rsidP="00F259E3">
      <w:pPr>
        <w:spacing w:line="0" w:lineRule="atLeast"/>
        <w:ind w:firstLineChars="100" w:firstLine="210"/>
        <w:rPr>
          <w:rFonts w:ascii="游明朝" w:eastAsia="游明朝" w:hAnsi="游明朝"/>
          <w:szCs w:val="21"/>
          <w:lang w:eastAsia="ja-JP"/>
        </w:rPr>
      </w:pPr>
      <w:r w:rsidRPr="00537DC7">
        <w:rPr>
          <w:rFonts w:ascii="游明朝" w:eastAsia="游明朝" w:hAnsi="游明朝"/>
          <w:noProof/>
          <w:szCs w:val="21"/>
          <w:lang w:eastAsia="ja-JP"/>
        </w:rPr>
        <w:lastRenderedPageBreak/>
        <w:drawing>
          <wp:inline distT="0" distB="0" distL="0" distR="0" wp14:anchorId="4CBD8617" wp14:editId="1DCE0789">
            <wp:extent cx="5191125" cy="2114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114550"/>
                    </a:xfrm>
                    <a:prstGeom prst="rect">
                      <a:avLst/>
                    </a:prstGeom>
                    <a:noFill/>
                    <a:ln>
                      <a:noFill/>
                    </a:ln>
                  </pic:spPr>
                </pic:pic>
              </a:graphicData>
            </a:graphic>
          </wp:inline>
        </w:drawing>
      </w:r>
    </w:p>
    <w:p w14:paraId="1A4C4664" w14:textId="7B74ED79" w:rsidR="000E269A" w:rsidRPr="000E269A" w:rsidRDefault="000E269A" w:rsidP="000E269A">
      <w:pPr>
        <w:spacing w:line="0" w:lineRule="atLeast"/>
        <w:ind w:firstLineChars="100" w:firstLine="160"/>
        <w:jc w:val="right"/>
        <w:rPr>
          <w:rFonts w:ascii="游明朝" w:eastAsia="游明朝" w:hAnsi="游明朝"/>
          <w:sz w:val="16"/>
          <w:szCs w:val="16"/>
        </w:rPr>
      </w:pPr>
      <w:r w:rsidRPr="000E269A">
        <w:rPr>
          <w:rFonts w:ascii="游明朝" w:eastAsia="游明朝" w:hAnsi="游明朝" w:hint="eastAsia"/>
          <w:sz w:val="16"/>
          <w:szCs w:val="16"/>
        </w:rPr>
        <w:t>出典：</w:t>
      </w:r>
      <w:bookmarkStart w:id="2" w:name="_Hlk503787277"/>
      <w:r w:rsidRPr="000E269A">
        <w:rPr>
          <w:rFonts w:ascii="游明朝" w:eastAsia="游明朝" w:hAnsi="游明朝" w:hint="eastAsia"/>
          <w:sz w:val="16"/>
          <w:szCs w:val="16"/>
        </w:rPr>
        <w:t>中国国家統計研究所「世界主要経済</w:t>
      </w:r>
      <w:r w:rsidRPr="000E269A">
        <w:rPr>
          <w:rFonts w:ascii="游明朝" w:eastAsia="游明朝" w:hAnsi="游明朝" w:cs="游明朝" w:hint="eastAsia"/>
          <w:sz w:val="16"/>
          <w:szCs w:val="16"/>
        </w:rPr>
        <w:t>体文化産業発展状况及特点</w:t>
      </w:r>
      <w:r w:rsidRPr="000E269A">
        <w:rPr>
          <w:rFonts w:ascii="游明朝" w:eastAsia="游明朝" w:hAnsi="游明朝" w:hint="eastAsia"/>
          <w:sz w:val="16"/>
          <w:szCs w:val="16"/>
        </w:rPr>
        <w:t>」</w:t>
      </w:r>
      <w:r>
        <w:rPr>
          <w:rFonts w:ascii="游明朝" w:eastAsia="游明朝" w:hAnsi="游明朝" w:hint="eastAsia"/>
          <w:sz w:val="16"/>
          <w:szCs w:val="16"/>
        </w:rPr>
        <w:t>（2014年）</w:t>
      </w:r>
      <w:bookmarkEnd w:id="2"/>
    </w:p>
    <w:p w14:paraId="49DCA129" w14:textId="77777777" w:rsidR="00F259E3" w:rsidRPr="00537DC7" w:rsidRDefault="00F259E3" w:rsidP="00876C89">
      <w:pPr>
        <w:spacing w:line="0" w:lineRule="atLeast"/>
        <w:ind w:firstLineChars="200" w:firstLine="420"/>
        <w:jc w:val="left"/>
        <w:rPr>
          <w:rFonts w:ascii="游明朝" w:eastAsia="游明朝" w:hAnsi="游明朝"/>
          <w:szCs w:val="21"/>
          <w:lang w:eastAsia="ja-JP"/>
        </w:rPr>
      </w:pPr>
      <w:r w:rsidRPr="00537DC7">
        <w:rPr>
          <w:rFonts w:ascii="游明朝" w:eastAsia="游明朝" w:hAnsi="游明朝" w:hint="eastAsia"/>
          <w:szCs w:val="21"/>
          <w:lang w:eastAsia="ja-JP"/>
        </w:rPr>
        <w:t>そこで、韓国と米国の文化産業の輸出内容から分析すると、輸出成功している文化産業は全て優れている文化商品を作り出していることがわかる。注意すべきなのは、文化産業が輸出するのは文化ではなく、文化の性質を持っている商品という点である。いくら文化が優れていても、商品化できなければ利益が生じない。</w:t>
      </w:r>
    </w:p>
    <w:p w14:paraId="301F7298" w14:textId="421D2374" w:rsidR="00F259E3" w:rsidRDefault="00F259E3" w:rsidP="00876C89">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逆に、アメリカの歴史は短く、国民はほぼ海外からの移民であり、独自の文化が少ないが、今は世界一の文化輸出大国になっている。韓国が輸出するのは、観光業以外に昔の古い文化がなく、全部現在世界のニーズに応じた娯楽用の文化である。昔の独特な文化はとても素晴らしいが、人々は単に「すごい」と思うだけで、お金を出して買おうとしない。</w:t>
      </w:r>
      <w:r w:rsidR="00161732">
        <w:rPr>
          <w:rFonts w:ascii="游明朝" w:eastAsia="游明朝" w:hAnsi="游明朝" w:hint="eastAsia"/>
          <w:szCs w:val="21"/>
          <w:lang w:eastAsia="ja-JP"/>
        </w:rPr>
        <w:t>ストレスが溢れる現代で、</w:t>
      </w:r>
      <w:r w:rsidRPr="00537DC7">
        <w:rPr>
          <w:rFonts w:ascii="游明朝" w:eastAsia="游明朝" w:hAnsi="游明朝" w:hint="eastAsia"/>
          <w:szCs w:val="21"/>
          <w:lang w:eastAsia="ja-JP"/>
        </w:rPr>
        <w:t>人々が喜ぶ文化商品は精神的にリラックスし、軽く受け入れるもの</w:t>
      </w:r>
      <w:r w:rsidR="00161732">
        <w:rPr>
          <w:rFonts w:ascii="游明朝" w:eastAsia="游明朝" w:hAnsi="游明朝" w:hint="eastAsia"/>
          <w:szCs w:val="21"/>
          <w:lang w:eastAsia="ja-JP"/>
        </w:rPr>
        <w:t>だと考えられる</w:t>
      </w:r>
      <w:r w:rsidRPr="00537DC7">
        <w:rPr>
          <w:rFonts w:ascii="游明朝" w:eastAsia="游明朝" w:hAnsi="游明朝" w:hint="eastAsia"/>
          <w:szCs w:val="21"/>
          <w:lang w:eastAsia="ja-JP"/>
        </w:rPr>
        <w:t>。伝統的な文化を宣伝することは重要だが、そのまま商品として出すことは不適切だろう。つまり、文化そのものを輸出するわけではなく、文化の特徴を</w:t>
      </w:r>
      <w:r w:rsidR="008E29FD" w:rsidRPr="008E29FD">
        <w:rPr>
          <w:rFonts w:ascii="游明朝" w:eastAsia="游明朝" w:hAnsi="游明朝" w:hint="eastAsia"/>
          <w:szCs w:val="21"/>
        </w:rPr>
        <w:t>抽</w:t>
      </w:r>
      <w:r w:rsidRPr="00537DC7">
        <w:rPr>
          <w:rFonts w:ascii="游明朝" w:eastAsia="游明朝" w:hAnsi="游明朝" w:hint="eastAsia"/>
          <w:szCs w:val="21"/>
          <w:lang w:eastAsia="ja-JP"/>
        </w:rPr>
        <w:t>出し、消費者が消費できる商品を作り、その商品を輸出することが重要なのである。</w:t>
      </w:r>
    </w:p>
    <w:p w14:paraId="72E5F8BF" w14:textId="5F8C328D" w:rsidR="005F1898" w:rsidRDefault="005F1898" w:rsidP="00876C89">
      <w:pPr>
        <w:spacing w:line="0" w:lineRule="atLeast"/>
        <w:ind w:firstLineChars="100" w:firstLine="210"/>
        <w:jc w:val="left"/>
        <w:rPr>
          <w:rFonts w:ascii="游明朝" w:eastAsia="游明朝" w:hAnsi="游明朝"/>
          <w:szCs w:val="21"/>
          <w:lang w:eastAsia="ja-JP"/>
        </w:rPr>
      </w:pPr>
      <w:r>
        <w:rPr>
          <w:rFonts w:ascii="游明朝" w:eastAsia="游明朝" w:hAnsi="游明朝" w:hint="eastAsia"/>
          <w:szCs w:val="21"/>
          <w:lang w:eastAsia="ja-JP"/>
        </w:rPr>
        <w:t>最後に、文化産業の海外進出には政府の</w:t>
      </w:r>
      <w:r w:rsidR="004305B0">
        <w:rPr>
          <w:rFonts w:ascii="游明朝" w:eastAsia="游明朝" w:hAnsi="游明朝" w:hint="eastAsia"/>
          <w:szCs w:val="21"/>
          <w:lang w:eastAsia="ja-JP"/>
        </w:rPr>
        <w:t>資金</w:t>
      </w:r>
      <w:r>
        <w:rPr>
          <w:rFonts w:ascii="游明朝" w:eastAsia="游明朝" w:hAnsi="游明朝" w:hint="eastAsia"/>
          <w:szCs w:val="21"/>
          <w:lang w:eastAsia="ja-JP"/>
        </w:rPr>
        <w:t>支援</w:t>
      </w:r>
      <w:r w:rsidR="004305B0">
        <w:rPr>
          <w:rFonts w:ascii="游明朝" w:eastAsia="游明朝" w:hAnsi="游明朝" w:hint="eastAsia"/>
          <w:szCs w:val="21"/>
          <w:lang w:eastAsia="ja-JP"/>
        </w:rPr>
        <w:t>と政策支援が不可欠だと主張する。企業が海外進出するための前期費用は高いため、資金支援や税率軽減などの政策が重要だと考える。</w:t>
      </w:r>
    </w:p>
    <w:p w14:paraId="75D957C1" w14:textId="77777777" w:rsidR="001A4A39" w:rsidRPr="00537DC7" w:rsidRDefault="001A4A39" w:rsidP="00876C89">
      <w:pPr>
        <w:spacing w:line="0" w:lineRule="atLeast"/>
        <w:ind w:firstLineChars="100" w:firstLine="210"/>
        <w:jc w:val="left"/>
        <w:rPr>
          <w:rFonts w:ascii="游明朝" w:eastAsia="游明朝" w:hAnsi="游明朝"/>
          <w:szCs w:val="21"/>
          <w:lang w:eastAsia="ja-JP"/>
        </w:rPr>
      </w:pPr>
    </w:p>
    <w:p w14:paraId="417BFCBF" w14:textId="77777777" w:rsidR="00F259E3" w:rsidRPr="00537DC7" w:rsidRDefault="00F259E3" w:rsidP="00876C89">
      <w:pPr>
        <w:spacing w:line="0" w:lineRule="atLeast"/>
        <w:jc w:val="left"/>
        <w:rPr>
          <w:rFonts w:ascii="游明朝" w:eastAsia="游明朝" w:hAnsi="游明朝"/>
          <w:szCs w:val="21"/>
          <w:lang w:eastAsia="ja-JP"/>
        </w:rPr>
      </w:pPr>
      <w:r w:rsidRPr="00537DC7">
        <w:rPr>
          <w:rFonts w:ascii="游明朝" w:eastAsia="游明朝" w:hAnsi="游明朝" w:hint="eastAsia"/>
          <w:szCs w:val="21"/>
          <w:lang w:eastAsia="ja-JP"/>
        </w:rPr>
        <w:t>５.終わりに</w:t>
      </w:r>
    </w:p>
    <w:p w14:paraId="4C9C08D2" w14:textId="690DAE74" w:rsidR="00F259E3" w:rsidRPr="00537DC7" w:rsidRDefault="00330A5F" w:rsidP="00876C89">
      <w:pPr>
        <w:spacing w:line="0" w:lineRule="atLeast"/>
        <w:ind w:firstLineChars="100" w:firstLine="210"/>
        <w:jc w:val="left"/>
        <w:rPr>
          <w:rFonts w:ascii="游明朝" w:eastAsia="游明朝" w:hAnsi="游明朝"/>
          <w:szCs w:val="21"/>
          <w:lang w:eastAsia="ja-JP"/>
        </w:rPr>
      </w:pPr>
      <w:r>
        <w:rPr>
          <w:rFonts w:ascii="游明朝" w:eastAsia="游明朝" w:hAnsi="游明朝" w:hint="eastAsia"/>
          <w:szCs w:val="21"/>
          <w:lang w:eastAsia="ja-JP"/>
        </w:rPr>
        <w:t>本レポートでは、</w:t>
      </w:r>
      <w:r w:rsidR="00F259E3" w:rsidRPr="00537DC7">
        <w:rPr>
          <w:rFonts w:ascii="游明朝" w:eastAsia="游明朝" w:hAnsi="游明朝" w:hint="eastAsia"/>
          <w:szCs w:val="21"/>
          <w:lang w:eastAsia="ja-JP"/>
        </w:rPr>
        <w:t>日本文化産業の海外進出を進</w:t>
      </w:r>
      <w:r>
        <w:rPr>
          <w:rFonts w:ascii="游明朝" w:eastAsia="游明朝" w:hAnsi="游明朝" w:hint="eastAsia"/>
          <w:szCs w:val="21"/>
          <w:lang w:eastAsia="ja-JP"/>
        </w:rPr>
        <w:t>め</w:t>
      </w:r>
      <w:r w:rsidR="00F259E3" w:rsidRPr="00537DC7">
        <w:rPr>
          <w:rFonts w:ascii="游明朝" w:eastAsia="游明朝" w:hAnsi="游明朝" w:hint="eastAsia"/>
          <w:szCs w:val="21"/>
          <w:lang w:eastAsia="ja-JP"/>
        </w:rPr>
        <w:t>、海外での売上を上昇させるために、国の文化的差異によって経営戦略を調整しながら、優れた文化を商品化することが</w:t>
      </w:r>
      <w:r>
        <w:rPr>
          <w:rFonts w:ascii="游明朝" w:eastAsia="游明朝" w:hAnsi="游明朝" w:hint="eastAsia"/>
          <w:szCs w:val="21"/>
          <w:lang w:eastAsia="ja-JP"/>
        </w:rPr>
        <w:t>重要</w:t>
      </w:r>
      <w:r w:rsidR="00F259E3" w:rsidRPr="00537DC7">
        <w:rPr>
          <w:rFonts w:ascii="游明朝" w:eastAsia="游明朝" w:hAnsi="游明朝" w:hint="eastAsia"/>
          <w:szCs w:val="21"/>
          <w:lang w:eastAsia="ja-JP"/>
        </w:rPr>
        <w:t>だということが明らかになった。文化産業の海外進出の初期費用は高いが、外国の需要と市場に応じた適切な経営戦略を</w:t>
      </w:r>
      <w:r>
        <w:rPr>
          <w:rFonts w:ascii="游明朝" w:eastAsia="游明朝" w:hAnsi="游明朝" w:hint="eastAsia"/>
          <w:szCs w:val="21"/>
          <w:lang w:eastAsia="ja-JP"/>
        </w:rPr>
        <w:t>取れば</w:t>
      </w:r>
      <w:r w:rsidR="00F259E3" w:rsidRPr="00537DC7">
        <w:rPr>
          <w:rFonts w:ascii="游明朝" w:eastAsia="游明朝" w:hAnsi="游明朝" w:hint="eastAsia"/>
          <w:szCs w:val="21"/>
          <w:lang w:eastAsia="ja-JP"/>
        </w:rPr>
        <w:t>、利益を大きく上昇させることが</w:t>
      </w:r>
      <w:r w:rsidR="008E29FD">
        <w:rPr>
          <w:rFonts w:ascii="游明朝" w:eastAsia="游明朝" w:hAnsi="游明朝" w:hint="eastAsia"/>
          <w:szCs w:val="21"/>
          <w:lang w:eastAsia="ja-JP"/>
        </w:rPr>
        <w:t>可能性が考えられるため</w:t>
      </w:r>
      <w:r w:rsidR="00F259E3" w:rsidRPr="00537DC7">
        <w:rPr>
          <w:rFonts w:ascii="游明朝" w:eastAsia="游明朝" w:hAnsi="游明朝" w:hint="eastAsia"/>
          <w:szCs w:val="21"/>
          <w:lang w:eastAsia="ja-JP"/>
        </w:rPr>
        <w:t>、企業は海外進出を推し進めること</w:t>
      </w:r>
      <w:r>
        <w:rPr>
          <w:rFonts w:ascii="游明朝" w:eastAsia="游明朝" w:hAnsi="游明朝" w:hint="eastAsia"/>
          <w:szCs w:val="21"/>
          <w:lang w:eastAsia="ja-JP"/>
        </w:rPr>
        <w:t>が</w:t>
      </w:r>
      <w:r w:rsidR="00F259E3" w:rsidRPr="00537DC7">
        <w:rPr>
          <w:rFonts w:ascii="游明朝" w:eastAsia="游明朝" w:hAnsi="游明朝" w:hint="eastAsia"/>
          <w:szCs w:val="21"/>
          <w:lang w:eastAsia="ja-JP"/>
        </w:rPr>
        <w:t>重要である。一方、政府は文化産業の潜在的能力を</w:t>
      </w:r>
      <w:r>
        <w:rPr>
          <w:rFonts w:ascii="游明朝" w:eastAsia="游明朝" w:hAnsi="游明朝" w:hint="eastAsia"/>
          <w:szCs w:val="21"/>
          <w:lang w:eastAsia="ja-JP"/>
        </w:rPr>
        <w:t>把握</w:t>
      </w:r>
      <w:r w:rsidR="00F259E3" w:rsidRPr="00537DC7">
        <w:rPr>
          <w:rFonts w:ascii="游明朝" w:eastAsia="游明朝" w:hAnsi="游明朝" w:hint="eastAsia"/>
          <w:szCs w:val="21"/>
          <w:lang w:eastAsia="ja-JP"/>
        </w:rPr>
        <w:t>し、文化産業の海外進出を支援することは重要である。</w:t>
      </w:r>
    </w:p>
    <w:p w14:paraId="190B4D8A" w14:textId="77777777" w:rsidR="00F259E3" w:rsidRPr="00537DC7" w:rsidRDefault="00F259E3" w:rsidP="00876C89">
      <w:pPr>
        <w:spacing w:line="0" w:lineRule="atLeast"/>
        <w:ind w:firstLineChars="100" w:firstLine="210"/>
        <w:jc w:val="left"/>
        <w:rPr>
          <w:rFonts w:ascii="游明朝" w:eastAsia="游明朝" w:hAnsi="游明朝"/>
          <w:szCs w:val="21"/>
          <w:lang w:eastAsia="ja-JP"/>
        </w:rPr>
      </w:pPr>
      <w:r w:rsidRPr="00537DC7">
        <w:rPr>
          <w:rFonts w:ascii="游明朝" w:eastAsia="游明朝" w:hAnsi="游明朝" w:hint="eastAsia"/>
          <w:szCs w:val="21"/>
          <w:lang w:eastAsia="ja-JP"/>
        </w:rPr>
        <w:t>しかし、各地の文化が大きく異なるため、進出する各地域によって経営戦略を調整することが不可欠である。今後の課題として、経営戦略の設定、文化の商品化と政府の支援政策の三つの問題について研究する必要がある。</w:t>
      </w:r>
    </w:p>
    <w:p w14:paraId="61AA542A" w14:textId="77777777" w:rsidR="00F259E3" w:rsidRPr="00537DC7" w:rsidRDefault="00F259E3" w:rsidP="00876C89">
      <w:pPr>
        <w:pStyle w:val="a3"/>
        <w:spacing w:line="0" w:lineRule="atLeast"/>
        <w:ind w:left="420" w:firstLineChars="100" w:firstLine="210"/>
        <w:jc w:val="left"/>
        <w:rPr>
          <w:rFonts w:ascii="游明朝" w:eastAsia="游明朝" w:hAnsi="游明朝"/>
          <w:szCs w:val="21"/>
          <w:lang w:eastAsia="ja-JP"/>
        </w:rPr>
      </w:pPr>
    </w:p>
    <w:p w14:paraId="5E6BAF77" w14:textId="77777777" w:rsidR="00F259E3" w:rsidRPr="00040BBD" w:rsidRDefault="00F259E3"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注：</w:t>
      </w:r>
    </w:p>
    <w:p w14:paraId="64374AC2" w14:textId="77777777" w:rsidR="00F259E3" w:rsidRPr="00040BBD" w:rsidRDefault="00F259E3" w:rsidP="00876C89">
      <w:pPr>
        <w:pStyle w:val="a3"/>
        <w:numPr>
          <w:ilvl w:val="0"/>
          <w:numId w:val="7"/>
        </w:numPr>
        <w:spacing w:line="0" w:lineRule="atLeast"/>
        <w:ind w:firstLineChars="0"/>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図１のタイトルの「我が国」は日本を指している。</w:t>
      </w:r>
    </w:p>
    <w:p w14:paraId="05AD8F23" w14:textId="19733E2B" w:rsidR="00B23E96" w:rsidRPr="00040BBD" w:rsidRDefault="00B23E96" w:rsidP="00876C89">
      <w:pPr>
        <w:pStyle w:val="a3"/>
        <w:numPr>
          <w:ilvl w:val="0"/>
          <w:numId w:val="7"/>
        </w:numPr>
        <w:spacing w:line="0" w:lineRule="atLeast"/>
        <w:ind w:firstLineChars="0"/>
        <w:jc w:val="left"/>
        <w:rPr>
          <w:rFonts w:ascii="游明朝" w:eastAsia="游明朝" w:hAnsi="游明朝"/>
          <w:sz w:val="20"/>
          <w:szCs w:val="20"/>
          <w:lang w:eastAsia="ja-JP"/>
        </w:rPr>
      </w:pPr>
      <w:bookmarkStart w:id="3" w:name="_Hlk505612206"/>
      <w:r w:rsidRPr="00040BBD">
        <w:rPr>
          <w:rFonts w:ascii="游明朝" w:eastAsia="游明朝" w:hAnsi="游明朝" w:hint="eastAsia"/>
          <w:sz w:val="20"/>
          <w:szCs w:val="20"/>
          <w:lang w:eastAsia="ja-JP"/>
        </w:rPr>
        <w:lastRenderedPageBreak/>
        <w:t>日本貿易振興機構（ジェトロ）</w:t>
      </w:r>
      <w:r w:rsidR="00303C90" w:rsidRPr="00040BBD">
        <w:rPr>
          <w:rFonts w:ascii="游明朝" w:eastAsia="游明朝" w:hAnsi="游明朝" w:hint="eastAsia"/>
          <w:sz w:val="20"/>
          <w:szCs w:val="20"/>
          <w:lang w:eastAsia="ja-JP"/>
        </w:rPr>
        <w:t>（2011年3月）</w:t>
      </w:r>
      <w:r w:rsidRPr="00040BBD">
        <w:rPr>
          <w:rFonts w:ascii="游明朝" w:eastAsia="游明朝" w:hAnsi="游明朝" w:hint="eastAsia"/>
          <w:sz w:val="20"/>
          <w:szCs w:val="20"/>
          <w:lang w:eastAsia="ja-JP"/>
        </w:rPr>
        <w:t>『韓国のコンテンツ振興策と海外市場における直接効果・間接効果の分析』</w:t>
      </w:r>
      <w:bookmarkEnd w:id="3"/>
      <w:r w:rsidR="00303C90" w:rsidRPr="00040BBD">
        <w:rPr>
          <w:rFonts w:ascii="游明朝" w:eastAsia="游明朝" w:hAnsi="游明朝" w:cs="ＭＳ 明朝" w:hint="eastAsia"/>
          <w:sz w:val="20"/>
          <w:szCs w:val="20"/>
          <w:lang w:eastAsia="ja-JP"/>
        </w:rPr>
        <w:t>ｐ.5</w:t>
      </w:r>
    </w:p>
    <w:p w14:paraId="383BEF36" w14:textId="14A7D546" w:rsidR="00F259E3" w:rsidRPr="00040BBD" w:rsidRDefault="00F259E3" w:rsidP="00876C89">
      <w:pPr>
        <w:pStyle w:val="a3"/>
        <w:numPr>
          <w:ilvl w:val="0"/>
          <w:numId w:val="7"/>
        </w:numPr>
        <w:spacing w:line="0" w:lineRule="atLeast"/>
        <w:ind w:firstLineChars="0"/>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中国語の国名を左から順に日本で示すと以下の通りだ。</w:t>
      </w:r>
    </w:p>
    <w:p w14:paraId="6E54B252" w14:textId="77777777" w:rsidR="00F259E3" w:rsidRPr="00040BBD" w:rsidRDefault="00F259E3" w:rsidP="00876C89">
      <w:pPr>
        <w:pStyle w:val="a3"/>
        <w:spacing w:line="0" w:lineRule="atLeast"/>
        <w:ind w:left="720" w:firstLineChars="0" w:firstLine="0"/>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アメリカ、韓国、ブラジル、オーストラリア、中国、シンガポール、ロシア、オランダ、マレーシア、ルーマニア、カナダ、イギリス、中国香港、フィリピン、メキシコ、アルゼンチン、フィンランド、タンザニア、ブルガリア、タイ、インドネシア、南アフリカ、ウクライナ、中国台湾、ペルー</w:t>
      </w:r>
    </w:p>
    <w:p w14:paraId="4249ED79" w14:textId="77777777" w:rsidR="00F259E3" w:rsidRPr="00040BBD" w:rsidRDefault="00F259E3"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参考文献：</w:t>
      </w:r>
    </w:p>
    <w:p w14:paraId="4BA82DEC" w14:textId="77777777" w:rsidR="00F259E3" w:rsidRPr="00040BBD" w:rsidRDefault="00F259E3"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経済産業省HP『コンテンツ産業の現状と課題』平成17年2月（http://www.meti.go.jp/policy/media_contents/downloadfiles/kobetsugenjyokadai/genjyoukadai1215.pdf#search=%27%E3%82%B3%E3%83%B3%E3%83%86%E3%83%B3%E3%83%84%E7%94%A3%E6%A5%AD%E3%81%AE%E7%8F%BE%E7%8A%B6%E3%81%A8%E8%AA%B2%E9%A1%8C%27）（閲覧日：2017年10月7日）</w:t>
      </w:r>
    </w:p>
    <w:p w14:paraId="0DF681F8" w14:textId="77777777" w:rsidR="00F259E3" w:rsidRPr="00040BBD" w:rsidRDefault="00F259E3"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経済産業省HP『「文化産業」立国に向けて』平成22年6月（http://www.meti.go.jp/committee/materials2/downloadfiles/g100405a04j.pdf#search=%27%E3%80%8C%E6%96%87%E5%8C%96%E7%94%A3%E6%A5%AD%E3%80%8D%E7%AB%8B%E5%9B%BD%E3%81%AB%E5%90%91%E3%81%91%E3%81%A6%27）（閲覧日：2017年10月2日）</w:t>
      </w:r>
    </w:p>
    <w:p w14:paraId="4E801185" w14:textId="77777777" w:rsidR="00433621" w:rsidRPr="00040BBD" w:rsidRDefault="000E269A" w:rsidP="00433621">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・中華人民共和国国家統計局H</w:t>
      </w:r>
      <w:r w:rsidRPr="00040BBD">
        <w:rPr>
          <w:rFonts w:ascii="游明朝" w:eastAsia="游明朝" w:hAnsi="游明朝"/>
          <w:sz w:val="20"/>
          <w:szCs w:val="20"/>
          <w:lang w:eastAsia="ja-JP"/>
        </w:rPr>
        <w:t>P</w:t>
      </w:r>
      <w:r w:rsidRPr="00040BBD">
        <w:rPr>
          <w:rFonts w:ascii="游明朝" w:eastAsia="游明朝" w:hAnsi="游明朝" w:hint="eastAsia"/>
          <w:sz w:val="20"/>
          <w:szCs w:val="20"/>
          <w:lang w:eastAsia="ja-JP"/>
        </w:rPr>
        <w:t>『世界主要</w:t>
      </w:r>
      <w:r w:rsidRPr="00040BBD">
        <w:rPr>
          <w:rFonts w:ascii="微软雅黑 Light" w:eastAsia="微软雅黑 Light" w:hAnsi="微软雅黑 Light" w:hint="eastAsia"/>
          <w:sz w:val="20"/>
          <w:szCs w:val="20"/>
        </w:rPr>
        <w:t>经济体</w:t>
      </w:r>
      <w:r w:rsidRPr="00040BBD">
        <w:rPr>
          <w:rFonts w:ascii="游明朝" w:eastAsia="游明朝" w:hAnsi="游明朝" w:hint="eastAsia"/>
          <w:sz w:val="20"/>
          <w:szCs w:val="20"/>
          <w:lang w:eastAsia="ja-JP"/>
        </w:rPr>
        <w:t>文化</w:t>
      </w:r>
      <w:r w:rsidRPr="00040BBD">
        <w:rPr>
          <w:rFonts w:ascii="微软雅黑 Light" w:eastAsia="微软雅黑 Light" w:hAnsi="微软雅黑 Light" w:cs="SimSun" w:hint="eastAsia"/>
          <w:sz w:val="20"/>
          <w:szCs w:val="20"/>
        </w:rPr>
        <w:t>产业发</w:t>
      </w:r>
      <w:r w:rsidRPr="00040BBD">
        <w:rPr>
          <w:rFonts w:ascii="微软雅黑 Light" w:eastAsia="微软雅黑 Light" w:hAnsi="微软雅黑 Light" w:cs="游明朝" w:hint="eastAsia"/>
          <w:sz w:val="20"/>
          <w:szCs w:val="20"/>
        </w:rPr>
        <w:t>展</w:t>
      </w:r>
      <w:r w:rsidRPr="00040BBD">
        <w:rPr>
          <w:rFonts w:ascii="游明朝" w:eastAsia="游明朝" w:hAnsi="游明朝" w:hint="eastAsia"/>
          <w:sz w:val="20"/>
          <w:szCs w:val="20"/>
          <w:lang w:eastAsia="ja-JP"/>
        </w:rPr>
        <w:t>状况及特点』</w:t>
      </w:r>
      <w:r w:rsidRPr="00040BBD">
        <w:rPr>
          <w:rFonts w:ascii="游明朝" w:eastAsia="游明朝" w:hAnsi="游明朝"/>
          <w:sz w:val="20"/>
          <w:szCs w:val="20"/>
          <w:lang w:eastAsia="ja-JP"/>
        </w:rPr>
        <w:t>2014年</w:t>
      </w:r>
      <w:r w:rsidRPr="00040BBD">
        <w:rPr>
          <w:rFonts w:ascii="游明朝" w:eastAsia="游明朝" w:hAnsi="游明朝" w:hint="eastAsia"/>
          <w:sz w:val="20"/>
          <w:szCs w:val="20"/>
          <w:lang w:eastAsia="ja-JP"/>
        </w:rPr>
        <w:t>12月8日（</w:t>
      </w:r>
      <w:r w:rsidRPr="00040BBD">
        <w:rPr>
          <w:rFonts w:ascii="游明朝" w:eastAsia="游明朝" w:hAnsi="游明朝"/>
          <w:sz w:val="20"/>
          <w:szCs w:val="20"/>
          <w:lang w:eastAsia="ja-JP"/>
        </w:rPr>
        <w:t>http://www.stats.gov.cn/tjzs/tjsj/tjcb/dysj/201412/t20141209_649990.html）</w:t>
      </w:r>
      <w:r w:rsidRPr="00040BBD">
        <w:rPr>
          <w:rFonts w:ascii="游明朝" w:eastAsia="游明朝" w:hAnsi="游明朝" w:hint="eastAsia"/>
          <w:sz w:val="20"/>
          <w:szCs w:val="20"/>
          <w:lang w:eastAsia="ja-JP"/>
        </w:rPr>
        <w:t>（閲覧日：2018年1月5日）</w:t>
      </w:r>
    </w:p>
    <w:p w14:paraId="592523C5" w14:textId="70727F9C" w:rsidR="00303C90" w:rsidRPr="00040BBD" w:rsidRDefault="00303C90" w:rsidP="00433621">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w:t>
      </w:r>
      <w:r w:rsidRPr="00040BBD">
        <w:rPr>
          <w:rFonts w:ascii="游明朝" w:eastAsia="游明朝" w:hAnsi="游明朝"/>
          <w:sz w:val="20"/>
          <w:szCs w:val="20"/>
          <w:lang w:eastAsia="ja-JP"/>
        </w:rPr>
        <w:t>日本貿易振興機構（ジェトロ）（2011年3月）『韓国のコンテンツ振興策と海外市場における直接効果</w:t>
      </w:r>
      <w:r w:rsidRPr="00040BBD">
        <w:rPr>
          <w:rFonts w:ascii="游明朝" w:eastAsia="游明朝" w:hAnsi="游明朝" w:hint="eastAsia"/>
          <w:sz w:val="20"/>
          <w:szCs w:val="20"/>
          <w:lang w:eastAsia="ja-JP"/>
        </w:rPr>
        <w:t>・間接効果の分析』（</w:t>
      </w:r>
      <w:r w:rsidRPr="00040BBD">
        <w:rPr>
          <w:rFonts w:ascii="游明朝" w:eastAsia="游明朝" w:hAnsi="游明朝"/>
          <w:sz w:val="20"/>
          <w:szCs w:val="20"/>
          <w:lang w:eastAsia="ja-JP"/>
        </w:rPr>
        <w:t>https://www.jetro.go.jp/ext_images/jfile/report/07000622/korea_contents_promotion.pdf#search=%27%E6%96%87%E5%8C%96%E7%94%A3%E6%A5%AD%E3%81%AE%E6%B5%B7%E5%A4%96%E9%80%B2%E5%87%BA%E5%BF%85%E8%A6%81%E6%80%A7%27</w:t>
      </w:r>
      <w:r w:rsidRPr="00040BBD">
        <w:rPr>
          <w:rFonts w:ascii="游明朝" w:eastAsia="游明朝" w:hAnsi="游明朝" w:hint="eastAsia"/>
          <w:sz w:val="20"/>
          <w:szCs w:val="20"/>
          <w:lang w:eastAsia="ja-JP"/>
        </w:rPr>
        <w:t>）（閲覧日：2018年1月30日）</w:t>
      </w:r>
    </w:p>
    <w:p w14:paraId="00087C2C" w14:textId="72A5AE85" w:rsidR="00433621" w:rsidRPr="00040BBD" w:rsidRDefault="00433621" w:rsidP="00433621">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・文化庁HP『文化芸術資源を活用した経済活性化（文化ＧＤＰの拡大）』平成28年4月</w:t>
      </w:r>
    </w:p>
    <w:p w14:paraId="44E4ADC2" w14:textId="222D0963" w:rsidR="00F259E3" w:rsidRPr="00040BBD" w:rsidRDefault="00433621"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http://www.bunka.go.jp/seisaku/bunkashingikai/sokai/sokai_16/67/pdf/shiryo2.pdf#search=%27%E6%96%87%E5%8C%96%E8%8A%B8%E8%A1%93%E8%B3%87%E6%BA%90%E3%82%92%E6%B4%BB%E7%94%A8%E3%81%97%E3%81%9F%E7%B5%8C%E6%B8%88%E6%B4%BB%E6%80%A7%E5%8C%96+%EF%BC%88%E6%96%87%E5%8C%96%EF%BC%A7%EF%BC%A4%EF%BC%B0%E3%81%AE%E6%8B%A1%E5%A4%A7%EF%BC%89+%E5%B9%B3%E6%88%90%EF%BC%92+%EF%BC%98+%E5%B9%B4%EF%BC%94+%E6%9C%88+%E6%96%87%E5%8C%96%E5%BA%81+%E8%B3%87%E6%96%99%EF%BC%92%27）（閲覧日：2017年9月28日）</w:t>
      </w:r>
    </w:p>
    <w:p w14:paraId="3963997C" w14:textId="1A5945CB" w:rsidR="001C43F6" w:rsidRPr="00040BBD" w:rsidRDefault="00876C89" w:rsidP="00876C89">
      <w:pPr>
        <w:spacing w:line="0" w:lineRule="atLeast"/>
        <w:jc w:val="left"/>
        <w:rPr>
          <w:rFonts w:ascii="游明朝" w:eastAsia="游明朝" w:hAnsi="游明朝"/>
          <w:sz w:val="20"/>
          <w:szCs w:val="20"/>
          <w:lang w:eastAsia="ja-JP"/>
        </w:rPr>
      </w:pPr>
      <w:r w:rsidRPr="00040BBD">
        <w:rPr>
          <w:rFonts w:ascii="游明朝" w:eastAsia="游明朝" w:hAnsi="游明朝" w:hint="eastAsia"/>
          <w:sz w:val="20"/>
          <w:szCs w:val="20"/>
          <w:lang w:eastAsia="ja-JP"/>
        </w:rPr>
        <w:t>・</w:t>
      </w:r>
      <w:bookmarkStart w:id="4" w:name="_Hlk505601172"/>
      <w:r w:rsidRPr="00040BBD">
        <w:rPr>
          <w:rFonts w:ascii="游明朝" w:eastAsia="游明朝" w:hAnsi="游明朝" w:hint="eastAsia"/>
          <w:sz w:val="20"/>
          <w:szCs w:val="20"/>
          <w:lang w:eastAsia="ja-JP"/>
        </w:rPr>
        <w:t>みずほ銀行産業調査部『コンテンツ産業の展望』</w:t>
      </w:r>
      <w:r w:rsidR="00433621" w:rsidRPr="00040BBD">
        <w:rPr>
          <w:rFonts w:ascii="游明朝" w:eastAsia="游明朝" w:hAnsi="游明朝" w:hint="eastAsia"/>
          <w:sz w:val="20"/>
          <w:szCs w:val="20"/>
          <w:lang w:eastAsia="ja-JP"/>
        </w:rPr>
        <w:t>2014年</w:t>
      </w:r>
      <w:bookmarkEnd w:id="4"/>
      <w:r w:rsidRPr="00040BBD">
        <w:rPr>
          <w:rFonts w:ascii="游明朝" w:eastAsia="游明朝" w:hAnsi="游明朝" w:hint="eastAsia"/>
          <w:sz w:val="20"/>
          <w:szCs w:val="20"/>
          <w:lang w:eastAsia="ja-JP"/>
        </w:rPr>
        <w:t>（</w:t>
      </w:r>
      <w:r w:rsidRPr="00040BBD">
        <w:rPr>
          <w:rFonts w:ascii="游明朝" w:eastAsia="游明朝" w:hAnsi="游明朝"/>
          <w:sz w:val="20"/>
          <w:szCs w:val="20"/>
          <w:lang w:eastAsia="ja-JP"/>
        </w:rPr>
        <w:t>https://www.mizuhobank.co.jp/corporate/bizinfo/industry/sangyou/pdf/1048_03_03.pdf#search=%27%E6%BC%AB%E7%94%BB%E7%94%A3%E6%A5%AD%E6%B5%B7%E5%A4%96%E5%A3%B2%E4%B8%8A%E6%AF%94%E7%8E%87%27</w:t>
      </w:r>
      <w:r w:rsidRPr="00040BBD">
        <w:rPr>
          <w:rFonts w:ascii="游明朝" w:eastAsia="游明朝" w:hAnsi="游明朝" w:hint="eastAsia"/>
          <w:sz w:val="20"/>
          <w:szCs w:val="20"/>
          <w:lang w:eastAsia="ja-JP"/>
        </w:rPr>
        <w:t>）（閲覧日：2018年2月2日）</w:t>
      </w:r>
    </w:p>
    <w:p w14:paraId="6BAF195A" w14:textId="77777777" w:rsidR="001C43F6" w:rsidRPr="008C6DFD" w:rsidRDefault="001C43F6" w:rsidP="001C43F6">
      <w:pPr>
        <w:jc w:val="center"/>
        <w:rPr>
          <w:rFonts w:ascii="ＭＳ 明朝" w:eastAsia="ＭＳ 明朝" w:hAnsi="ＭＳ 明朝"/>
          <w:color w:val="FF0000"/>
          <w:sz w:val="24"/>
          <w:szCs w:val="24"/>
          <w:u w:val="single"/>
          <w:lang w:eastAsia="ja-JP"/>
        </w:rPr>
      </w:pPr>
      <w:r w:rsidRPr="008C6DFD">
        <w:rPr>
          <w:rFonts w:ascii="ＭＳ 明朝" w:eastAsia="ＭＳ 明朝" w:hAnsi="ＭＳ 明朝" w:hint="eastAsia"/>
          <w:sz w:val="24"/>
          <w:szCs w:val="24"/>
          <w:lang w:eastAsia="ja-JP"/>
        </w:rPr>
        <w:lastRenderedPageBreak/>
        <w:t>プラザ合意再考-何がバブル経済を崩壊させたのか</w:t>
      </w:r>
    </w:p>
    <w:p w14:paraId="376C7EB8" w14:textId="77777777" w:rsidR="001C43F6" w:rsidRPr="0035661A" w:rsidRDefault="001C43F6" w:rsidP="001C43F6">
      <w:pPr>
        <w:jc w:val="right"/>
        <w:rPr>
          <w:rFonts w:ascii="ＭＳ 明朝" w:eastAsia="ＭＳ 明朝" w:hAnsi="ＭＳ 明朝"/>
          <w:szCs w:val="21"/>
        </w:rPr>
      </w:pPr>
      <w:r w:rsidRPr="0035661A">
        <w:rPr>
          <w:rFonts w:ascii="ＭＳ 明朝" w:eastAsia="ＭＳ 明朝" w:hAnsi="ＭＳ 明朝" w:hint="eastAsia"/>
          <w:szCs w:val="21"/>
        </w:rPr>
        <w:t>劉仲翔</w:t>
      </w:r>
    </w:p>
    <w:p w14:paraId="67CFFB13"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１.はじめに</w:t>
      </w:r>
    </w:p>
    <w:p w14:paraId="30DFE736"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hint="eastAsia"/>
          <w:szCs w:val="21"/>
          <w:lang w:eastAsia="ja-JP"/>
        </w:rPr>
        <w:t>近年、日本では「失われた20年」という長期間の景気不振が深刻化しつつある。1990年代のバブル経済の崩壊が主因であり、そのバブルが弾けたことを加速させたのはプラザ合意だとい</w:t>
      </w:r>
      <w:r>
        <w:rPr>
          <w:rFonts w:ascii="ＭＳ 明朝" w:eastAsia="ＭＳ 明朝" w:hAnsi="ＭＳ 明朝" w:hint="eastAsia"/>
          <w:szCs w:val="21"/>
          <w:lang w:eastAsia="ja-JP"/>
        </w:rPr>
        <w:t>う</w:t>
      </w:r>
      <w:r>
        <w:rPr>
          <w:rFonts w:ascii="ＭＳ 明朝" w:hAnsi="ＭＳ 明朝" w:hint="eastAsia"/>
          <w:szCs w:val="21"/>
          <w:lang w:eastAsia="ja-JP"/>
        </w:rPr>
        <w:t>(</w:t>
      </w:r>
      <w:r>
        <w:rPr>
          <w:rFonts w:ascii="ＭＳ 明朝" w:hAnsi="ＭＳ 明朝"/>
          <w:szCs w:val="21"/>
          <w:lang w:eastAsia="ja-JP"/>
        </w:rPr>
        <w:t>1</w:t>
      </w:r>
      <w:r>
        <w:rPr>
          <w:rFonts w:ascii="ＭＳ 明朝" w:hAnsi="ＭＳ 明朝" w:hint="eastAsia"/>
          <w:szCs w:val="21"/>
          <w:lang w:eastAsia="ja-JP"/>
        </w:rPr>
        <w:t>)</w:t>
      </w:r>
      <w:r>
        <w:rPr>
          <w:rStyle w:val="ae"/>
          <w:rFonts w:ascii="ＭＳ 明朝" w:eastAsia="ＭＳ 明朝" w:hAnsi="ＭＳ 明朝"/>
          <w:szCs w:val="21"/>
          <w:lang w:eastAsia="ja-JP"/>
        </w:rPr>
        <w:footnoteReference w:id="1"/>
      </w:r>
      <w:r w:rsidRPr="001B1495">
        <w:rPr>
          <w:rFonts w:ascii="ＭＳ 明朝" w:eastAsia="ＭＳ 明朝" w:hAnsi="ＭＳ 明朝" w:hint="eastAsia"/>
          <w:szCs w:val="21"/>
          <w:lang w:eastAsia="ja-JP"/>
        </w:rPr>
        <w:t>。</w:t>
      </w:r>
      <w:r>
        <w:rPr>
          <w:rFonts w:ascii="Microsoft JhengHei" w:eastAsia="ＭＳ 明朝" w:hAnsi="Microsoft JhengHei" w:cs="Microsoft JhengHei" w:hint="eastAsia"/>
          <w:szCs w:val="21"/>
          <w:lang w:eastAsia="ja-JP"/>
        </w:rPr>
        <w:t>一方</w:t>
      </w:r>
      <w:r>
        <w:rPr>
          <w:rFonts w:ascii="ＭＳ 明朝" w:eastAsia="ＭＳ 明朝" w:hAnsi="ＭＳ 明朝" w:hint="eastAsia"/>
          <w:szCs w:val="21"/>
          <w:lang w:eastAsia="ja-JP"/>
        </w:rPr>
        <w:t>、バブル経済を崩壊させた原因はプラザ合意ではなく、ルーブル合意だという反論がある。フリードマン</w:t>
      </w:r>
      <w:r>
        <w:rPr>
          <w:rFonts w:ascii="ＭＳ 明朝" w:hAnsi="ＭＳ 明朝" w:hint="eastAsia"/>
          <w:szCs w:val="21"/>
          <w:lang w:eastAsia="ja-JP"/>
        </w:rPr>
        <w:t>(</w:t>
      </w:r>
      <w:r>
        <w:rPr>
          <w:rFonts w:ascii="ＭＳ 明朝" w:hAnsi="ＭＳ 明朝"/>
          <w:szCs w:val="21"/>
          <w:lang w:eastAsia="ja-JP"/>
        </w:rPr>
        <w:t>1994</w:t>
      </w:r>
      <w:r>
        <w:rPr>
          <w:rFonts w:ascii="ＭＳ 明朝" w:hAnsi="ＭＳ 明朝" w:hint="eastAsia"/>
          <w:szCs w:val="21"/>
          <w:lang w:eastAsia="ja-JP"/>
        </w:rPr>
        <w:t>)</w:t>
      </w:r>
      <w:r>
        <w:rPr>
          <w:rFonts w:ascii="ＭＳ 明朝" w:eastAsia="ＭＳ 明朝" w:hAnsi="ＭＳ 明朝" w:hint="eastAsia"/>
          <w:szCs w:val="21"/>
          <w:lang w:eastAsia="ja-JP"/>
        </w:rPr>
        <w:t>は</w:t>
      </w:r>
      <w:r w:rsidRPr="00F0425B">
        <w:rPr>
          <w:rFonts w:ascii="ＭＳ 明朝" w:eastAsia="ＭＳ 明朝" w:hAnsi="ＭＳ 明朝" w:hint="eastAsia"/>
          <w:szCs w:val="21"/>
          <w:lang w:eastAsia="ja-JP"/>
        </w:rPr>
        <w:t>「</w:t>
      </w:r>
      <w:r w:rsidRPr="00F0425B">
        <w:rPr>
          <w:rFonts w:ascii="ＭＳ 明朝" w:eastAsia="ＭＳ 明朝" w:hAnsi="ＭＳ 明朝" w:hint="eastAsia"/>
          <w:color w:val="131313"/>
          <w:szCs w:val="21"/>
          <w:lang w:eastAsia="ja-JP"/>
        </w:rPr>
        <w:t>日本の</w:t>
      </w:r>
      <w:r>
        <w:rPr>
          <w:rFonts w:ascii="ＭＳ 明朝" w:eastAsia="ＭＳ 明朝" w:hAnsi="ＭＳ 明朝" w:hint="eastAsia"/>
          <w:color w:val="131313"/>
          <w:szCs w:val="21"/>
          <w:lang w:eastAsia="ja-JP"/>
        </w:rPr>
        <w:t>『バブル経済』は、</w:t>
      </w:r>
      <w:r w:rsidRPr="00F0425B">
        <w:rPr>
          <w:rFonts w:ascii="ＭＳ 明朝" w:eastAsia="ＭＳ 明朝" w:hAnsi="ＭＳ 明朝" w:hint="eastAsia"/>
          <w:color w:val="131313"/>
          <w:szCs w:val="21"/>
          <w:lang w:eastAsia="ja-JP"/>
        </w:rPr>
        <w:t>私の見るところ､Ｇ７諸国がドル相場のこれ以上の下落を食い止めることで合意した、87年のルーブル合意がもたらしたものである</w:t>
      </w:r>
      <w:r>
        <w:rPr>
          <w:rFonts w:ascii="ＭＳ 明朝" w:eastAsia="ＭＳ 明朝" w:hAnsi="ＭＳ 明朝" w:hint="eastAsia"/>
          <w:color w:val="131313"/>
          <w:szCs w:val="21"/>
          <w:lang w:eastAsia="ja-JP"/>
        </w:rPr>
        <w:t>」</w:t>
      </w:r>
      <w:r>
        <w:rPr>
          <w:rFonts w:ascii="ＭＳ 明朝" w:eastAsia="ＭＳ 明朝" w:hAnsi="ＭＳ 明朝" w:hint="eastAsia"/>
          <w:szCs w:val="21"/>
          <w:lang w:eastAsia="ja-JP"/>
        </w:rPr>
        <w:t>と述べている。しかし、筆者の考えとしては、先述の反論は当時日本がアメリカにプレッシャーをかけられた背景を無視し、単に為替相場について述べることので、国際情勢と日本の状況を理解していないのは明らかである。ルーブル合意より、プラザ合意に対する判断の方が問題ではないだろうか。ゆえに、</w:t>
      </w:r>
      <w:r w:rsidRPr="001B1495">
        <w:rPr>
          <w:rFonts w:ascii="ＭＳ 明朝" w:eastAsia="ＭＳ 明朝" w:hAnsi="ＭＳ 明朝" w:hint="eastAsia"/>
          <w:szCs w:val="21"/>
          <w:lang w:eastAsia="ja-JP"/>
        </w:rPr>
        <w:t>本レポートではプラザ合意を再考することで、バブル経済に関連する部分を考察し、</w:t>
      </w:r>
      <w:r>
        <w:rPr>
          <w:rFonts w:ascii="ＭＳ 明朝" w:eastAsia="ＭＳ 明朝" w:hAnsi="ＭＳ 明朝" w:hint="eastAsia"/>
          <w:szCs w:val="21"/>
          <w:lang w:eastAsia="ja-JP"/>
        </w:rPr>
        <w:t>筆者の考えと反論を検証しつつ、</w:t>
      </w:r>
      <w:r w:rsidRPr="001B1495">
        <w:rPr>
          <w:rFonts w:ascii="ＭＳ 明朝" w:eastAsia="ＭＳ 明朝" w:hAnsi="ＭＳ 明朝" w:hint="eastAsia"/>
          <w:szCs w:val="21"/>
          <w:lang w:eastAsia="ja-JP"/>
        </w:rPr>
        <w:t>バブル経済の崩壊はプラザ合意との関わりがあると主張する。</w:t>
      </w:r>
    </w:p>
    <w:p w14:paraId="18B5DE42" w14:textId="77777777" w:rsidR="001C43F6" w:rsidRPr="001B1495" w:rsidRDefault="001C43F6" w:rsidP="001C43F6">
      <w:pPr>
        <w:rPr>
          <w:rFonts w:ascii="ＭＳ 明朝" w:eastAsia="ＭＳ 明朝" w:hAnsi="ＭＳ 明朝"/>
          <w:szCs w:val="21"/>
          <w:lang w:eastAsia="ja-JP"/>
        </w:rPr>
      </w:pPr>
    </w:p>
    <w:p w14:paraId="141C4313"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2.プラザ合意の背景とその目的</w:t>
      </w:r>
    </w:p>
    <w:p w14:paraId="1B45F31E"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b/>
          <w:szCs w:val="21"/>
          <w:lang w:eastAsia="ja-JP"/>
        </w:rPr>
        <w:t xml:space="preserve">　</w:t>
      </w:r>
      <w:r w:rsidRPr="001B1495">
        <w:rPr>
          <w:rFonts w:ascii="ＭＳ 明朝" w:eastAsia="ＭＳ 明朝" w:hAnsi="ＭＳ 明朝" w:hint="eastAsia"/>
          <w:szCs w:val="21"/>
          <w:lang w:eastAsia="ja-JP"/>
        </w:rPr>
        <w:t>1980年代からアメリカはレーガン元大統領の政策で、財政支出の拡大と投資の規制緩和というレーガノミックスを実施していたが、巨額な財政赤字と貿易赤字が生じてしまった。特に一番大きな貿易相手国であった日本と貿易することによって赤字が出続けてしまい、貿易の対外競争力にかけては日本より弱かったということが分かった。ゆえに、アメリカにとってプラザ合意で国の経済問題を解決する必要があった。</w:t>
      </w:r>
    </w:p>
    <w:p w14:paraId="658C76C0"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 xml:space="preserve">　1985年9月22日に、アメリカ合衆国のニューヨークのプラザホテルに日本とアメリカを含めて五か国の蔵相が集まり、主に為替介入でドルレートを調整する行動に合意した。</w:t>
      </w:r>
    </w:p>
    <w:p w14:paraId="58B48E12"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 xml:space="preserve">　日本に関連するプラザ合意の目的は、ドルダンピング戦略に従い、ドル安円高を実現させることで</w:t>
      </w:r>
      <w:r>
        <w:rPr>
          <w:rFonts w:ascii="ＭＳ 明朝" w:eastAsia="ＭＳ 明朝" w:hAnsi="ＭＳ 明朝" w:hint="eastAsia"/>
          <w:szCs w:val="21"/>
          <w:lang w:eastAsia="ja-JP"/>
        </w:rPr>
        <w:t>アメリカの貿易赤字を解消させる</w:t>
      </w:r>
      <w:r w:rsidRPr="001B1495">
        <w:rPr>
          <w:rFonts w:ascii="ＭＳ 明朝" w:eastAsia="ＭＳ 明朝" w:hAnsi="ＭＳ 明朝" w:hint="eastAsia"/>
          <w:szCs w:val="21"/>
          <w:lang w:eastAsia="ja-JP"/>
        </w:rPr>
        <w:t>ことである。図１は1985～1990年米ドルと日本円の為替レートの推移を示したものである。1985年に1ドルは約260円に達したが、プラザ合意によってわずか2年間で122円に値上がりし、日本円が高騰したことが分かる。</w:t>
      </w:r>
    </w:p>
    <w:p w14:paraId="21BB3F14" w14:textId="77777777" w:rsidR="001C43F6" w:rsidRPr="001B1495" w:rsidRDefault="001C43F6" w:rsidP="001C43F6">
      <w:pPr>
        <w:jc w:val="center"/>
        <w:rPr>
          <w:rFonts w:ascii="ＭＳ 明朝" w:eastAsia="ＭＳ 明朝" w:hAnsi="ＭＳ 明朝"/>
          <w:szCs w:val="21"/>
          <w:lang w:eastAsia="ja-JP"/>
        </w:rPr>
      </w:pPr>
      <w:r w:rsidRPr="001B1495">
        <w:rPr>
          <w:rFonts w:ascii="ＭＳ 明朝" w:eastAsia="ＭＳ 明朝" w:hAnsi="ＭＳ 明朝" w:hint="eastAsia"/>
          <w:noProof/>
          <w:szCs w:val="21"/>
          <w:lang w:eastAsia="ja-JP"/>
        </w:rPr>
        <w:drawing>
          <wp:anchor distT="0" distB="0" distL="114300" distR="114300" simplePos="0" relativeHeight="251659264" behindDoc="1" locked="0" layoutInCell="1" allowOverlap="1" wp14:anchorId="60902568" wp14:editId="14F7FAD9">
            <wp:simplePos x="0" y="0"/>
            <wp:positionH relativeFrom="margin">
              <wp:posOffset>31750</wp:posOffset>
            </wp:positionH>
            <wp:positionV relativeFrom="paragraph">
              <wp:posOffset>209550</wp:posOffset>
            </wp:positionV>
            <wp:extent cx="4864100" cy="1130300"/>
            <wp:effectExtent l="0" t="0" r="0" b="0"/>
            <wp:wrapTight wrapText="bothSides">
              <wp:wrapPolygon edited="0">
                <wp:start x="0" y="0"/>
                <wp:lineTo x="0" y="21115"/>
                <wp:lineTo x="21487" y="21115"/>
                <wp:lineTo x="21487" y="0"/>
                <wp:lineTo x="0" y="0"/>
              </wp:wrapPolygon>
            </wp:wrapTight>
            <wp:docPr id="5" name="圖片 1" descr="C:\Users\user\Desktop\日本語作文の参考文献\DollarYenAfterPlazaAccord1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日本語作文の参考文献\DollarYenAfterPlazaAccord1985.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495">
        <w:rPr>
          <w:rFonts w:ascii="ＭＳ 明朝" w:eastAsia="ＭＳ 明朝" w:hAnsi="ＭＳ 明朝" w:hint="eastAsia"/>
          <w:szCs w:val="21"/>
          <w:lang w:eastAsia="ja-JP"/>
        </w:rPr>
        <w:t>図1.1985～1990年米ドルと日本円の為替レートの推移</w:t>
      </w:r>
    </w:p>
    <w:p w14:paraId="276FA361" w14:textId="77777777" w:rsidR="001C43F6" w:rsidRPr="001B1495" w:rsidRDefault="001C43F6" w:rsidP="001C43F6">
      <w:pPr>
        <w:rPr>
          <w:rFonts w:ascii="ＭＳ 明朝" w:eastAsia="ＭＳ 明朝" w:hAnsi="ＭＳ 明朝"/>
          <w:szCs w:val="21"/>
          <w:lang w:eastAsia="ja-JP"/>
        </w:rPr>
      </w:pPr>
    </w:p>
    <w:p w14:paraId="00DB942A" w14:textId="77777777" w:rsidR="001C43F6" w:rsidRPr="001B1495" w:rsidRDefault="001C43F6" w:rsidP="001C43F6">
      <w:pPr>
        <w:rPr>
          <w:rFonts w:ascii="ＭＳ 明朝" w:eastAsia="ＭＳ 明朝" w:hAnsi="ＭＳ 明朝"/>
          <w:b/>
          <w:szCs w:val="21"/>
          <w:lang w:eastAsia="ja-JP"/>
        </w:rPr>
      </w:pPr>
    </w:p>
    <w:p w14:paraId="02CFAD29" w14:textId="77777777" w:rsidR="001C43F6" w:rsidRPr="001B1495" w:rsidRDefault="001C43F6" w:rsidP="001C43F6">
      <w:pPr>
        <w:rPr>
          <w:rFonts w:ascii="ＭＳ 明朝" w:eastAsia="ＭＳ 明朝" w:hAnsi="ＭＳ 明朝"/>
          <w:b/>
          <w:szCs w:val="21"/>
          <w:lang w:eastAsia="ja-JP"/>
        </w:rPr>
      </w:pPr>
    </w:p>
    <w:p w14:paraId="74329D36" w14:textId="77777777" w:rsidR="001C43F6" w:rsidRPr="001B1495" w:rsidRDefault="001C43F6" w:rsidP="001C43F6">
      <w:pPr>
        <w:rPr>
          <w:rFonts w:ascii="ＭＳ 明朝" w:eastAsia="ＭＳ 明朝" w:hAnsi="ＭＳ 明朝"/>
          <w:b/>
          <w:szCs w:val="21"/>
          <w:lang w:eastAsia="ja-JP"/>
        </w:rPr>
      </w:pPr>
    </w:p>
    <w:p w14:paraId="54C62978" w14:textId="77777777" w:rsidR="001C43F6" w:rsidRPr="001B1495" w:rsidRDefault="001C43F6" w:rsidP="001C43F6">
      <w:pPr>
        <w:rPr>
          <w:rFonts w:ascii="ＭＳ 明朝" w:eastAsia="ＭＳ 明朝" w:hAnsi="ＭＳ 明朝"/>
          <w:b/>
          <w:szCs w:val="21"/>
          <w:lang w:eastAsia="ja-JP"/>
        </w:rPr>
      </w:pPr>
    </w:p>
    <w:p w14:paraId="5131D40F"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出典:経済&amp;マネー(</w:t>
      </w:r>
      <w:r w:rsidRPr="001B1495">
        <w:rPr>
          <w:rFonts w:ascii="ＭＳ 明朝" w:eastAsia="ＭＳ 明朝" w:hAnsi="ＭＳ 明朝"/>
          <w:szCs w:val="21"/>
          <w:lang w:eastAsia="ja-JP"/>
        </w:rPr>
        <w:t>2017</w:t>
      </w:r>
      <w:r w:rsidRPr="001B1495">
        <w:rPr>
          <w:rFonts w:ascii="ＭＳ 明朝" w:eastAsia="ＭＳ 明朝" w:hAnsi="ＭＳ 明朝" w:hint="eastAsia"/>
          <w:szCs w:val="21"/>
          <w:lang w:eastAsia="ja-JP"/>
        </w:rPr>
        <w:t>)「プラザ合意(</w:t>
      </w:r>
      <w:r w:rsidRPr="001B1495">
        <w:rPr>
          <w:rFonts w:ascii="ＭＳ 明朝" w:eastAsia="ＭＳ 明朝" w:hAnsi="ＭＳ 明朝"/>
          <w:szCs w:val="21"/>
          <w:lang w:eastAsia="ja-JP"/>
        </w:rPr>
        <w:t>1985</w:t>
      </w:r>
      <w:r w:rsidRPr="001B1495">
        <w:rPr>
          <w:rFonts w:ascii="ＭＳ 明朝" w:eastAsia="ＭＳ 明朝" w:hAnsi="ＭＳ 明朝" w:hint="eastAsia"/>
          <w:szCs w:val="21"/>
          <w:lang w:eastAsia="ja-JP"/>
        </w:rPr>
        <w:t>年)後のドル/為替チャート。円高はどう進んだか？」</w:t>
      </w:r>
    </w:p>
    <w:p w14:paraId="7FA119C3" w14:textId="77777777" w:rsidR="001C43F6" w:rsidRPr="00192895" w:rsidRDefault="001C43F6" w:rsidP="001C43F6">
      <w:pPr>
        <w:rPr>
          <w:rFonts w:ascii="ＭＳ 明朝" w:eastAsia="ＭＳ 明朝" w:hAnsi="ＭＳ 明朝"/>
          <w:szCs w:val="21"/>
          <w:lang w:eastAsia="ja-JP"/>
        </w:rPr>
      </w:pPr>
    </w:p>
    <w:p w14:paraId="626657A2"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３.</w:t>
      </w:r>
      <w:r>
        <w:rPr>
          <w:rFonts w:ascii="ＭＳ 明朝" w:eastAsia="ＭＳ 明朝" w:hAnsi="ＭＳ 明朝" w:hint="eastAsia"/>
          <w:szCs w:val="21"/>
          <w:lang w:eastAsia="ja-JP"/>
        </w:rPr>
        <w:t>国際情勢による</w:t>
      </w:r>
      <w:r w:rsidRPr="001B1495">
        <w:rPr>
          <w:rFonts w:ascii="ＭＳ 明朝" w:eastAsia="ＭＳ 明朝" w:hAnsi="ＭＳ 明朝" w:hint="eastAsia"/>
          <w:szCs w:val="21"/>
          <w:lang w:eastAsia="ja-JP"/>
        </w:rPr>
        <w:t>円の国際化</w:t>
      </w:r>
    </w:p>
    <w:p w14:paraId="0B3CBD31" w14:textId="77777777" w:rsidR="001C43F6" w:rsidRPr="001B1495" w:rsidRDefault="001C43F6" w:rsidP="001C43F6">
      <w:pPr>
        <w:ind w:firstLineChars="100" w:firstLine="180"/>
        <w:rPr>
          <w:rFonts w:ascii="ＭＳ 明朝" w:eastAsia="ＭＳ 明朝" w:hAnsi="ＭＳ 明朝"/>
          <w:szCs w:val="21"/>
          <w:lang w:eastAsia="ja-JP"/>
        </w:rPr>
      </w:pPr>
      <w:r w:rsidRPr="001B1495">
        <w:rPr>
          <w:rStyle w:val="ab"/>
          <w:rFonts w:ascii="ＭＳ 明朝" w:eastAsia="ＭＳ 明朝" w:hAnsi="ＭＳ 明朝" w:hint="eastAsia"/>
          <w:szCs w:val="21"/>
          <w:lang w:eastAsia="ja-JP"/>
        </w:rPr>
        <w:t>ア</w:t>
      </w:r>
      <w:r w:rsidRPr="001B1495">
        <w:rPr>
          <w:rFonts w:ascii="ＭＳ 明朝" w:eastAsia="ＭＳ 明朝" w:hAnsi="ＭＳ 明朝" w:hint="eastAsia"/>
          <w:szCs w:val="21"/>
          <w:lang w:eastAsia="ja-JP"/>
        </w:rPr>
        <w:t>メリカは世界第二次大戦後は世界経済を主導していたにもかかわらず、世界経済を主</w:t>
      </w:r>
      <w:r w:rsidRPr="001B1495">
        <w:rPr>
          <w:rFonts w:ascii="ＭＳ 明朝" w:eastAsia="ＭＳ 明朝" w:hAnsi="ＭＳ 明朝" w:hint="eastAsia"/>
          <w:szCs w:val="21"/>
          <w:lang w:eastAsia="ja-JP"/>
        </w:rPr>
        <w:lastRenderedPageBreak/>
        <w:t>導しつつ自国の財政と貿易を安定させることができなかった。特に1980年代からレーガン元大統領が提唱したのは、国際社会の通貨レートの通常化を求め、アメリカが世界経済を主導するのではなく、世界各国が公平に貿易するということであった。したがって、アメリカは円の国際化に強いインセンティブを持っていた。</w:t>
      </w:r>
    </w:p>
    <w:p w14:paraId="3432C463"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hint="eastAsia"/>
          <w:szCs w:val="21"/>
          <w:lang w:eastAsia="ja-JP"/>
        </w:rPr>
        <w:t>日本は1985年まで円安で対外競争力を維持し、規制の強い金融システムなどで企業を保護してきたが、対日貿易で巨額な貿易赤字を抱えたアメリカにとっては不利であった。ゆえに、ドル安円高の方向に進み貿易赤字を解消するのはもちろん、閉鎖的な金融と資本市場も開放させることで海外からの投資を増やそうと日本にプレッシャーをかけた。</w:t>
      </w:r>
    </w:p>
    <w:p w14:paraId="1AA4DDAA" w14:textId="77777777" w:rsidR="001C43F6" w:rsidRPr="001B1495" w:rsidRDefault="001C43F6" w:rsidP="001C43F6">
      <w:pPr>
        <w:rPr>
          <w:rFonts w:ascii="ＭＳ 明朝" w:eastAsia="ＭＳ 明朝" w:hAnsi="ＭＳ 明朝"/>
          <w:szCs w:val="21"/>
          <w:lang w:eastAsia="ja-JP"/>
        </w:rPr>
      </w:pPr>
    </w:p>
    <w:p w14:paraId="41D8721D"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４.プラザ合意後の円高不況に対する政策</w:t>
      </w:r>
    </w:p>
    <w:p w14:paraId="279E9495"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hint="eastAsia"/>
          <w:szCs w:val="21"/>
          <w:lang w:eastAsia="ja-JP"/>
        </w:rPr>
        <w:t>プラザ合意後、円高によって海外への輸出量が減少してしまったため、日本での生産量も減少し経済不況が発生した。特に日本の輸出産業は打撃を受け、日本は一時的に景気が低迷していた。それに対し、政府側は日本銀行に金融緩和を実施させることで円高による不景気の状況を打開するという目的が明らかになった。そして、実施された重要な金融緩和政策の一つは公定歩合であった。</w:t>
      </w:r>
    </w:p>
    <w:p w14:paraId="09B6EE00"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hint="eastAsia"/>
          <w:szCs w:val="21"/>
          <w:lang w:eastAsia="ja-JP"/>
        </w:rPr>
        <w:t>公定歩合とは不景気の時に使われ、金利を下げることで企業や個人などが資金を調達しやすくさせ、市場に流通する資金を増やそうとする対策である。公定歩合の効果が良く、円高不況は一時的に解決されたが、過剰な資金が増えてしまい、行き場のない資金は主に土地や株などに投資された。その結果、株価と地価が上がってしまった。</w:t>
      </w:r>
    </w:p>
    <w:p w14:paraId="49D52F9F"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hint="eastAsia"/>
          <w:szCs w:val="21"/>
          <w:lang w:eastAsia="ja-JP"/>
        </w:rPr>
        <w:t>1989年、政府はバブル経済を意識し、金融引き締め政策を打ち出しバブル景気を解決しようとした。公定歩合を引き上げるのはもちろん、地価の上昇を抑制するために課税したが、株や土地などを購入する人が減少したため株価と地価が暴落し始め、バブル経済を崩壊させた原因になった</w:t>
      </w:r>
      <w:r>
        <w:rPr>
          <w:rFonts w:ascii="ＭＳ 明朝" w:hAnsi="ＭＳ 明朝" w:hint="eastAsia"/>
          <w:szCs w:val="21"/>
          <w:lang w:eastAsia="ja-JP"/>
        </w:rPr>
        <w:t>(</w:t>
      </w:r>
      <w:r>
        <w:rPr>
          <w:rFonts w:ascii="ＭＳ 明朝" w:hAnsi="ＭＳ 明朝"/>
          <w:szCs w:val="21"/>
          <w:lang w:eastAsia="ja-JP"/>
        </w:rPr>
        <w:t>2</w:t>
      </w:r>
      <w:r>
        <w:rPr>
          <w:rFonts w:ascii="ＭＳ 明朝" w:hAnsi="ＭＳ 明朝" w:hint="eastAsia"/>
          <w:szCs w:val="21"/>
          <w:lang w:eastAsia="ja-JP"/>
        </w:rPr>
        <w:t>)</w:t>
      </w:r>
      <w:r>
        <w:rPr>
          <w:rStyle w:val="ae"/>
          <w:rFonts w:ascii="ＭＳ 明朝" w:eastAsia="ＭＳ 明朝" w:hAnsi="ＭＳ 明朝"/>
          <w:szCs w:val="21"/>
          <w:lang w:eastAsia="ja-JP"/>
        </w:rPr>
        <w:footnoteReference w:id="2"/>
      </w:r>
      <w:r w:rsidRPr="001B1495">
        <w:rPr>
          <w:rFonts w:ascii="ＭＳ 明朝" w:eastAsia="ＭＳ 明朝" w:hAnsi="ＭＳ 明朝" w:hint="eastAsia"/>
          <w:szCs w:val="21"/>
          <w:lang w:eastAsia="ja-JP"/>
        </w:rPr>
        <w:t>。図2はバブル前後の地価と株価の推移を示したものである。1</w:t>
      </w:r>
      <w:r w:rsidRPr="001B1495">
        <w:rPr>
          <w:rFonts w:ascii="ＭＳ 明朝" w:eastAsia="ＭＳ 明朝" w:hAnsi="ＭＳ 明朝"/>
          <w:szCs w:val="21"/>
          <w:lang w:eastAsia="ja-JP"/>
        </w:rPr>
        <w:t>985</w:t>
      </w:r>
      <w:r w:rsidRPr="001B1495">
        <w:rPr>
          <w:rFonts w:ascii="ＭＳ 明朝" w:eastAsia="ＭＳ 明朝" w:hAnsi="ＭＳ 明朝" w:hint="eastAsia"/>
          <w:szCs w:val="21"/>
          <w:lang w:eastAsia="ja-JP"/>
        </w:rPr>
        <w:t>年から株価と地価が上昇し、1990年にピークに達した。そして、バブル景気に対する政策が実施された後、株価と地価が暴落したということがわかる。</w:t>
      </w:r>
    </w:p>
    <w:p w14:paraId="1290B464" w14:textId="77777777" w:rsidR="001C43F6" w:rsidRPr="001B1495" w:rsidRDefault="001C43F6" w:rsidP="001C43F6">
      <w:pPr>
        <w:ind w:firstLineChars="100" w:firstLine="210"/>
        <w:jc w:val="center"/>
        <w:rPr>
          <w:rFonts w:ascii="ＭＳ 明朝" w:eastAsia="ＭＳ 明朝" w:hAnsi="ＭＳ 明朝"/>
          <w:szCs w:val="21"/>
          <w:lang w:eastAsia="ja-JP"/>
        </w:rPr>
      </w:pPr>
      <w:r w:rsidRPr="001B1495">
        <w:rPr>
          <w:rFonts w:ascii="ＭＳ 明朝" w:eastAsia="ＭＳ 明朝" w:hAnsi="ＭＳ 明朝" w:hint="eastAsia"/>
          <w:szCs w:val="21"/>
          <w:lang w:eastAsia="ja-JP"/>
        </w:rPr>
        <w:t>図2.バブル前後の地価と株価の推移</w:t>
      </w:r>
    </w:p>
    <w:p w14:paraId="54651AB2" w14:textId="77777777" w:rsidR="001C43F6" w:rsidRPr="001B1495" w:rsidRDefault="001C43F6" w:rsidP="001C43F6">
      <w:pPr>
        <w:ind w:firstLineChars="100" w:firstLine="210"/>
        <w:rPr>
          <w:rFonts w:ascii="ＭＳ 明朝" w:eastAsia="ＭＳ 明朝" w:hAnsi="ＭＳ 明朝"/>
          <w:szCs w:val="21"/>
          <w:lang w:eastAsia="ja-JP"/>
        </w:rPr>
      </w:pPr>
      <w:r w:rsidRPr="001B1495">
        <w:rPr>
          <w:rFonts w:ascii="ＭＳ 明朝" w:eastAsia="ＭＳ 明朝" w:hAnsi="ＭＳ 明朝"/>
          <w:noProof/>
          <w:szCs w:val="21"/>
          <w:lang w:eastAsia="ja-JP"/>
        </w:rPr>
        <w:drawing>
          <wp:inline distT="0" distB="0" distL="0" distR="0" wp14:anchorId="085F182C" wp14:editId="432F1272">
            <wp:extent cx="4781550" cy="1123950"/>
            <wp:effectExtent l="0" t="0" r="0" b="0"/>
            <wp:docPr id="7" name="圖片 2" descr="C:\Users\user\Desktop\日本語作文の参考文献\ゼミナール掲載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日本語作文の参考文献\ゼミナール掲載図（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3474" cy="1178466"/>
                    </a:xfrm>
                    <a:prstGeom prst="rect">
                      <a:avLst/>
                    </a:prstGeom>
                    <a:noFill/>
                    <a:ln>
                      <a:noFill/>
                    </a:ln>
                  </pic:spPr>
                </pic:pic>
              </a:graphicData>
            </a:graphic>
          </wp:inline>
        </w:drawing>
      </w:r>
    </w:p>
    <w:p w14:paraId="45BE0B9C" w14:textId="77777777" w:rsidR="001C43F6" w:rsidRDefault="001C43F6" w:rsidP="001C43F6">
      <w:pPr>
        <w:rPr>
          <w:rFonts w:ascii="ＭＳ 明朝" w:eastAsia="ＭＳ 明朝" w:hAnsi="ＭＳ 明朝"/>
          <w:szCs w:val="21"/>
          <w:lang w:eastAsia="ja-JP"/>
        </w:rPr>
      </w:pPr>
      <w:r w:rsidRPr="001B1495">
        <w:rPr>
          <w:rFonts w:ascii="ＭＳ 明朝" w:eastAsia="ＭＳ 明朝" w:hAnsi="ＭＳ 明朝" w:cs="Microsoft JhengHei" w:hint="eastAsia"/>
          <w:szCs w:val="21"/>
          <w:lang w:eastAsia="ja-JP"/>
        </w:rPr>
        <w:t>出典:</w:t>
      </w:r>
      <w:r w:rsidRPr="001B1495">
        <w:rPr>
          <w:rFonts w:ascii="ＭＳ 明朝" w:eastAsia="ＭＳ 明朝" w:hAnsi="ＭＳ 明朝" w:cs="PMingLiU" w:hint="eastAsia"/>
          <w:bCs/>
          <w:color w:val="000000"/>
          <w:kern w:val="36"/>
          <w:szCs w:val="21"/>
          <w:bdr w:val="none" w:sz="0" w:space="0" w:color="auto" w:frame="1"/>
          <w:lang w:eastAsia="ja-JP"/>
        </w:rPr>
        <w:t xml:space="preserve"> 日本経済新聞 2015年9月8日付掲載「ゼミナール「バブルの歴史」より」</w:t>
      </w:r>
    </w:p>
    <w:p w14:paraId="26D03D8F" w14:textId="77777777" w:rsidR="001C43F6" w:rsidRDefault="001C43F6" w:rsidP="001C43F6">
      <w:pPr>
        <w:rPr>
          <w:rFonts w:ascii="ＭＳ 明朝" w:eastAsia="ＭＳ 明朝" w:hAnsi="ＭＳ 明朝"/>
          <w:szCs w:val="21"/>
          <w:lang w:eastAsia="ja-JP"/>
        </w:rPr>
      </w:pPr>
    </w:p>
    <w:p w14:paraId="1DD66148" w14:textId="77777777" w:rsidR="001C43F6"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５.</w:t>
      </w:r>
      <w:r>
        <w:rPr>
          <w:rFonts w:ascii="ＭＳ 明朝" w:eastAsia="ＭＳ 明朝" w:hAnsi="ＭＳ 明朝" w:hint="eastAsia"/>
          <w:szCs w:val="21"/>
          <w:lang w:eastAsia="ja-JP"/>
        </w:rPr>
        <w:t>バブル経済を崩壊させたのはプラザ合意ではないのか</w:t>
      </w:r>
    </w:p>
    <w:p w14:paraId="445EC1D3" w14:textId="77777777" w:rsidR="001C43F6" w:rsidRDefault="001C43F6" w:rsidP="001C43F6">
      <w:pPr>
        <w:rPr>
          <w:rFonts w:ascii="ＭＳ 明朝" w:eastAsia="ＭＳ 明朝" w:hAnsi="ＭＳ 明朝"/>
          <w:color w:val="131313"/>
          <w:lang w:eastAsia="ja-JP"/>
        </w:rPr>
      </w:pPr>
      <w:r>
        <w:rPr>
          <w:rFonts w:ascii="ＭＳ 明朝" w:eastAsia="ＭＳ 明朝" w:hAnsi="ＭＳ 明朝" w:hint="eastAsia"/>
          <w:szCs w:val="21"/>
          <w:lang w:eastAsia="ja-JP"/>
        </w:rPr>
        <w:t xml:space="preserve">　一方、プラザ合意は日本のバブル経済を崩壊させた原因ではないという反論がある。フリードマン</w:t>
      </w:r>
      <w:r>
        <w:rPr>
          <w:rFonts w:ascii="ＭＳ 明朝" w:hAnsi="ＭＳ 明朝" w:hint="eastAsia"/>
          <w:szCs w:val="21"/>
          <w:lang w:eastAsia="ja-JP"/>
        </w:rPr>
        <w:t>(</w:t>
      </w:r>
      <w:r>
        <w:rPr>
          <w:rFonts w:ascii="ＭＳ 明朝" w:hAnsi="ＭＳ 明朝"/>
          <w:szCs w:val="21"/>
          <w:lang w:eastAsia="ja-JP"/>
        </w:rPr>
        <w:t>1994</w:t>
      </w:r>
      <w:r>
        <w:rPr>
          <w:rFonts w:ascii="ＭＳ 明朝" w:hAnsi="ＭＳ 明朝" w:hint="eastAsia"/>
          <w:szCs w:val="21"/>
          <w:lang w:eastAsia="ja-JP"/>
        </w:rPr>
        <w:t>)</w:t>
      </w:r>
      <w:r>
        <w:rPr>
          <w:rFonts w:ascii="ＭＳ 明朝" w:eastAsia="ＭＳ 明朝" w:hAnsi="ＭＳ 明朝" w:hint="eastAsia"/>
          <w:szCs w:val="21"/>
          <w:lang w:eastAsia="ja-JP"/>
        </w:rPr>
        <w:t>は「</w:t>
      </w:r>
      <w:r w:rsidRPr="001A33C4">
        <w:rPr>
          <w:rFonts w:ascii="ＭＳ 明朝" w:eastAsia="ＭＳ 明朝" w:hAnsi="ＭＳ 明朝" w:hint="eastAsia"/>
          <w:color w:val="131313"/>
          <w:lang w:eastAsia="ja-JP"/>
        </w:rPr>
        <w:t>85年のプラザ合意は、ドル相場を口先介入によって下落させようというドル高是正のための合意だと宣伝されたが、ドル相場は当時すでに下落に転じており、プラザ合意は基本的にはこれを追認したにすぎない</w:t>
      </w:r>
      <w:r>
        <w:rPr>
          <w:rFonts w:ascii="ＭＳ 明朝" w:eastAsia="ＭＳ 明朝" w:hAnsi="ＭＳ 明朝" w:hint="eastAsia"/>
          <w:color w:val="131313"/>
          <w:lang w:eastAsia="ja-JP"/>
        </w:rPr>
        <w:t>」と述べている。</w:t>
      </w:r>
    </w:p>
    <w:p w14:paraId="023E9E1D" w14:textId="77777777" w:rsidR="001C43F6" w:rsidRDefault="001C43F6" w:rsidP="001C43F6">
      <w:pPr>
        <w:rPr>
          <w:rFonts w:ascii="ＭＳ 明朝" w:eastAsia="ＭＳ 明朝" w:hAnsi="ＭＳ 明朝"/>
          <w:color w:val="131313"/>
          <w:lang w:eastAsia="ja-JP"/>
        </w:rPr>
      </w:pPr>
      <w:r>
        <w:rPr>
          <w:rFonts w:ascii="ＭＳ 明朝" w:eastAsia="ＭＳ 明朝" w:hAnsi="ＭＳ 明朝" w:hint="eastAsia"/>
          <w:color w:val="131313"/>
          <w:lang w:eastAsia="ja-JP"/>
        </w:rPr>
        <w:lastRenderedPageBreak/>
        <w:t xml:space="preserve">　プラザ合意はバブル経済を崩壊させた原因ではないという反論に同意している学者たちは、プラザ合意後、行き過ぎたドル安を食い止めることを世界各国が協調したルーブル合意こそバブル経済を崩壊させた原因だと主張している。しかし、その後ドル安を食い止められなかったため、ルーブル合意による国際協調が破綻したことから、日本円がさらに高くなってしまい、日本の金融秩序を乱しバブル経済を崩壊させた。</w:t>
      </w:r>
    </w:p>
    <w:p w14:paraId="37446593" w14:textId="77777777" w:rsidR="001C43F6" w:rsidRPr="002B580C" w:rsidRDefault="001C43F6" w:rsidP="001C43F6">
      <w:pPr>
        <w:rPr>
          <w:rFonts w:ascii="ＭＳ 明朝" w:eastAsia="ＭＳ 明朝" w:hAnsi="ＭＳ 明朝"/>
          <w:color w:val="131313"/>
          <w:lang w:eastAsia="ja-JP"/>
        </w:rPr>
      </w:pPr>
      <w:r>
        <w:rPr>
          <w:rFonts w:ascii="ＭＳ 明朝" w:eastAsia="ＭＳ 明朝" w:hAnsi="ＭＳ 明朝" w:hint="eastAsia"/>
          <w:color w:val="131313"/>
          <w:lang w:eastAsia="ja-JP"/>
        </w:rPr>
        <w:t xml:space="preserve">　ルーブル合意によって為替相場に影響を与えたが、合意の目的はドル安を食い止めることだけで、国際情勢を十分に理解したとは言えず、プラザ合意はバブル経済を崩壊させた原因ではないという反論は妥当ではないと考える。ゆえに、ルーブル合意よりは、プラザ合意直後の金融政策や国際情勢に対する判断の方がバブル経済の崩壊に関わると考える。</w:t>
      </w:r>
    </w:p>
    <w:p w14:paraId="55F9843B"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６.「失われた２０年」と呼ばれている今の日本経済</w:t>
      </w:r>
    </w:p>
    <w:p w14:paraId="6052B561"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b/>
          <w:szCs w:val="21"/>
          <w:lang w:eastAsia="ja-JP"/>
        </w:rPr>
        <w:t xml:space="preserve">　</w:t>
      </w:r>
      <w:r w:rsidRPr="001B1495">
        <w:rPr>
          <w:rFonts w:ascii="ＭＳ 明朝" w:eastAsia="ＭＳ 明朝" w:hAnsi="ＭＳ 明朝" w:hint="eastAsia"/>
          <w:szCs w:val="21"/>
          <w:lang w:eastAsia="ja-JP"/>
        </w:rPr>
        <w:t>バブル経済後、地価が下落したため、当時土地を担保にして巨額な借金を作った企業が返済できなくなり、倒産したか借金を抱えながら生き残った。また、株価の暴落の影響で投資家の自信が無くなってしまい、一時的に日本への投資が停滞していた。このような深刻な状況に対し、政府は再び金融緩和を実施し金利ゼロまでにしようとしたが、バブル経済が崩壊した影響が残ったので、その後好景気が来ても経済は低成長のままであ</w:t>
      </w:r>
      <w:r>
        <w:rPr>
          <w:rFonts w:ascii="ＭＳ 明朝" w:eastAsia="ＭＳ 明朝" w:hAnsi="ＭＳ 明朝" w:hint="eastAsia"/>
          <w:szCs w:val="21"/>
          <w:lang w:eastAsia="ja-JP"/>
        </w:rPr>
        <w:t>った</w:t>
      </w:r>
      <w:r w:rsidRPr="001B1495">
        <w:rPr>
          <w:rFonts w:ascii="ＭＳ 明朝" w:eastAsia="ＭＳ 明朝" w:hAnsi="ＭＳ 明朝" w:hint="eastAsia"/>
          <w:szCs w:val="21"/>
          <w:lang w:eastAsia="ja-JP"/>
        </w:rPr>
        <w:t>。図3は日本の</w:t>
      </w:r>
      <w:r w:rsidRPr="001B1495">
        <w:rPr>
          <w:rFonts w:ascii="ＭＳ 明朝" w:eastAsia="ＭＳ 明朝" w:hAnsi="ＭＳ 明朝"/>
          <w:szCs w:val="21"/>
          <w:lang w:eastAsia="ja-JP"/>
        </w:rPr>
        <w:t>経済成長率を示</w:t>
      </w:r>
      <w:r w:rsidRPr="001B1495">
        <w:rPr>
          <w:rFonts w:ascii="ＭＳ 明朝" w:eastAsia="ＭＳ 明朝" w:hAnsi="ＭＳ 明朝" w:hint="eastAsia"/>
          <w:szCs w:val="21"/>
          <w:lang w:eastAsia="ja-JP"/>
        </w:rPr>
        <w:t>している</w:t>
      </w:r>
      <w:r w:rsidRPr="001B1495">
        <w:rPr>
          <w:rFonts w:ascii="ＭＳ 明朝" w:eastAsia="ＭＳ 明朝" w:hAnsi="ＭＳ 明朝"/>
          <w:szCs w:val="21"/>
          <w:lang w:eastAsia="ja-JP"/>
        </w:rPr>
        <w:t>。</w:t>
      </w:r>
      <w:r w:rsidRPr="001B1495">
        <w:rPr>
          <w:rFonts w:ascii="ＭＳ 明朝" w:eastAsia="ＭＳ 明朝" w:hAnsi="ＭＳ 明朝" w:hint="eastAsia"/>
          <w:szCs w:val="21"/>
          <w:lang w:eastAsia="ja-JP"/>
        </w:rPr>
        <w:t>バブル</w:t>
      </w:r>
      <w:r w:rsidRPr="001B1495">
        <w:rPr>
          <w:rFonts w:ascii="ＭＳ 明朝" w:eastAsia="ＭＳ 明朝" w:hAnsi="ＭＳ 明朝"/>
          <w:szCs w:val="21"/>
          <w:lang w:eastAsia="ja-JP"/>
        </w:rPr>
        <w:t>経済が崩壊した</w:t>
      </w:r>
      <w:r w:rsidRPr="001B1495">
        <w:rPr>
          <w:rFonts w:ascii="ＭＳ 明朝" w:eastAsia="ＭＳ 明朝" w:hAnsi="ＭＳ 明朝" w:hint="eastAsia"/>
          <w:szCs w:val="21"/>
          <w:lang w:eastAsia="ja-JP"/>
        </w:rPr>
        <w:t>1990年以降</w:t>
      </w:r>
      <w:r w:rsidRPr="001B1495">
        <w:rPr>
          <w:rFonts w:ascii="ＭＳ 明朝" w:eastAsia="ＭＳ 明朝" w:hAnsi="ＭＳ 明朝"/>
          <w:szCs w:val="21"/>
          <w:lang w:eastAsia="ja-JP"/>
        </w:rPr>
        <w:t>、</w:t>
      </w:r>
      <w:r w:rsidRPr="001B1495">
        <w:rPr>
          <w:rFonts w:ascii="ＭＳ 明朝" w:eastAsia="ＭＳ 明朝" w:hAnsi="ＭＳ 明朝" w:hint="eastAsia"/>
          <w:szCs w:val="21"/>
          <w:lang w:eastAsia="ja-JP"/>
        </w:rPr>
        <w:t>日本</w:t>
      </w:r>
      <w:r w:rsidRPr="001B1495">
        <w:rPr>
          <w:rFonts w:ascii="ＭＳ 明朝" w:eastAsia="ＭＳ 明朝" w:hAnsi="ＭＳ 明朝"/>
          <w:szCs w:val="21"/>
          <w:lang w:eastAsia="ja-JP"/>
        </w:rPr>
        <w:t>は</w:t>
      </w:r>
      <w:r w:rsidRPr="001B1495">
        <w:rPr>
          <w:rFonts w:ascii="ＭＳ 明朝" w:eastAsia="ＭＳ 明朝" w:hAnsi="ＭＳ 明朝" w:hint="eastAsia"/>
          <w:szCs w:val="21"/>
          <w:lang w:eastAsia="ja-JP"/>
        </w:rPr>
        <w:t>二度と経済</w:t>
      </w:r>
      <w:r w:rsidRPr="001B1495">
        <w:rPr>
          <w:rFonts w:ascii="ＭＳ 明朝" w:eastAsia="ＭＳ 明朝" w:hAnsi="ＭＳ 明朝"/>
          <w:szCs w:val="21"/>
          <w:lang w:eastAsia="ja-JP"/>
        </w:rPr>
        <w:t>成長率</w:t>
      </w:r>
      <w:r w:rsidRPr="001B1495">
        <w:rPr>
          <w:rFonts w:ascii="ＭＳ 明朝" w:eastAsia="ＭＳ 明朝" w:hAnsi="ＭＳ 明朝" w:hint="eastAsia"/>
          <w:szCs w:val="21"/>
          <w:lang w:eastAsia="ja-JP"/>
        </w:rPr>
        <w:t>4％</w:t>
      </w:r>
      <w:r w:rsidRPr="001B1495">
        <w:rPr>
          <w:rFonts w:ascii="ＭＳ 明朝" w:eastAsia="ＭＳ 明朝" w:hAnsi="ＭＳ 明朝"/>
          <w:szCs w:val="21"/>
          <w:lang w:eastAsia="ja-JP"/>
        </w:rPr>
        <w:t>を超え</w:t>
      </w:r>
      <w:r w:rsidRPr="001B1495">
        <w:rPr>
          <w:rFonts w:ascii="ＭＳ 明朝" w:eastAsia="ＭＳ 明朝" w:hAnsi="ＭＳ 明朝" w:hint="eastAsia"/>
          <w:szCs w:val="21"/>
          <w:lang w:eastAsia="ja-JP"/>
        </w:rPr>
        <w:t>ず</w:t>
      </w:r>
      <w:r w:rsidRPr="001B1495">
        <w:rPr>
          <w:rFonts w:ascii="ＭＳ 明朝" w:eastAsia="ＭＳ 明朝" w:hAnsi="ＭＳ 明朝"/>
          <w:szCs w:val="21"/>
          <w:lang w:eastAsia="ja-JP"/>
        </w:rPr>
        <w:t>、</w:t>
      </w:r>
      <w:r w:rsidRPr="001B1495">
        <w:rPr>
          <w:rFonts w:ascii="ＭＳ 明朝" w:eastAsia="ＭＳ 明朝" w:hAnsi="ＭＳ 明朝" w:hint="eastAsia"/>
          <w:szCs w:val="21"/>
          <w:lang w:eastAsia="ja-JP"/>
        </w:rPr>
        <w:t>今でも景気が</w:t>
      </w:r>
      <w:r w:rsidRPr="001B1495">
        <w:rPr>
          <w:rFonts w:ascii="ＭＳ 明朝" w:eastAsia="ＭＳ 明朝" w:hAnsi="ＭＳ 明朝"/>
          <w:szCs w:val="21"/>
          <w:lang w:eastAsia="ja-JP"/>
        </w:rPr>
        <w:t>低迷していることがわかる</w:t>
      </w:r>
    </w:p>
    <w:p w14:paraId="6005444B" w14:textId="77777777" w:rsidR="001C43F6" w:rsidRPr="001B1495" w:rsidRDefault="001C43F6" w:rsidP="001C43F6">
      <w:pPr>
        <w:jc w:val="center"/>
        <w:rPr>
          <w:rFonts w:ascii="ＭＳ 明朝" w:eastAsia="ＭＳ 明朝" w:hAnsi="ＭＳ 明朝"/>
          <w:szCs w:val="21"/>
          <w:lang w:eastAsia="ja-JP"/>
        </w:rPr>
      </w:pPr>
      <w:r w:rsidRPr="001B1495">
        <w:rPr>
          <w:rFonts w:ascii="ＭＳ 明朝" w:eastAsia="ＭＳ 明朝" w:hAnsi="ＭＳ 明朝"/>
          <w:noProof/>
          <w:szCs w:val="21"/>
          <w:lang w:eastAsia="ja-JP"/>
        </w:rPr>
        <w:drawing>
          <wp:anchor distT="0" distB="0" distL="114300" distR="114300" simplePos="0" relativeHeight="251660288" behindDoc="1" locked="0" layoutInCell="1" allowOverlap="1" wp14:anchorId="7FE37DAC" wp14:editId="55591CA7">
            <wp:simplePos x="0" y="0"/>
            <wp:positionH relativeFrom="margin">
              <wp:align>right</wp:align>
            </wp:positionH>
            <wp:positionV relativeFrom="paragraph">
              <wp:posOffset>222250</wp:posOffset>
            </wp:positionV>
            <wp:extent cx="5289550" cy="1289050"/>
            <wp:effectExtent l="0" t="0" r="6350" b="6350"/>
            <wp:wrapSquare wrapText="bothSides"/>
            <wp:docPr id="8" name="圖片 2" descr="keizaiseit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izaiseityo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9550" cy="1289050"/>
                    </a:xfrm>
                    <a:prstGeom prst="rect">
                      <a:avLst/>
                    </a:prstGeom>
                    <a:noFill/>
                  </pic:spPr>
                </pic:pic>
              </a:graphicData>
            </a:graphic>
            <wp14:sizeRelH relativeFrom="page">
              <wp14:pctWidth>0</wp14:pctWidth>
            </wp14:sizeRelH>
            <wp14:sizeRelV relativeFrom="page">
              <wp14:pctHeight>0</wp14:pctHeight>
            </wp14:sizeRelV>
          </wp:anchor>
        </w:drawing>
      </w:r>
      <w:r w:rsidRPr="001B1495">
        <w:rPr>
          <w:rFonts w:ascii="ＭＳ 明朝" w:eastAsia="ＭＳ 明朝" w:hAnsi="ＭＳ 明朝" w:cs="Microsoft JhengHei" w:hint="eastAsia"/>
          <w:szCs w:val="21"/>
          <w:lang w:eastAsia="ja-JP"/>
        </w:rPr>
        <w:t>図３</w:t>
      </w:r>
      <w:r w:rsidRPr="001B1495">
        <w:rPr>
          <w:rFonts w:ascii="ＭＳ 明朝" w:eastAsia="ＭＳ 明朝" w:hAnsi="ＭＳ 明朝" w:hint="eastAsia"/>
          <w:szCs w:val="21"/>
          <w:lang w:eastAsia="ja-JP"/>
        </w:rPr>
        <w:t>日本の</w:t>
      </w:r>
      <w:r w:rsidRPr="001B1495">
        <w:rPr>
          <w:rFonts w:ascii="ＭＳ 明朝" w:eastAsia="ＭＳ 明朝" w:hAnsi="ＭＳ 明朝"/>
          <w:szCs w:val="21"/>
          <w:lang w:eastAsia="ja-JP"/>
        </w:rPr>
        <w:t>経済</w:t>
      </w:r>
      <w:r w:rsidRPr="001B1495">
        <w:rPr>
          <w:rFonts w:ascii="ＭＳ 明朝" w:eastAsia="ＭＳ 明朝" w:hAnsi="ＭＳ 明朝" w:hint="eastAsia"/>
          <w:szCs w:val="21"/>
          <w:lang w:eastAsia="ja-JP"/>
        </w:rPr>
        <w:t>成長</w:t>
      </w:r>
      <w:r w:rsidRPr="001B1495">
        <w:rPr>
          <w:rFonts w:ascii="ＭＳ 明朝" w:eastAsia="ＭＳ 明朝" w:hAnsi="ＭＳ 明朝"/>
          <w:szCs w:val="21"/>
          <w:lang w:eastAsia="ja-JP"/>
        </w:rPr>
        <w:t>率の</w:t>
      </w:r>
      <w:r w:rsidRPr="001B1495">
        <w:rPr>
          <w:rFonts w:ascii="ＭＳ 明朝" w:eastAsia="ＭＳ 明朝" w:hAnsi="ＭＳ 明朝" w:hint="eastAsia"/>
          <w:szCs w:val="21"/>
          <w:lang w:eastAsia="ja-JP"/>
        </w:rPr>
        <w:t>推移(実質</w:t>
      </w:r>
      <w:r w:rsidRPr="001B1495">
        <w:rPr>
          <w:rFonts w:ascii="ＭＳ 明朝" w:eastAsia="ＭＳ 明朝" w:hAnsi="ＭＳ 明朝"/>
          <w:szCs w:val="21"/>
          <w:lang w:eastAsia="ja-JP"/>
        </w:rPr>
        <w:t>)</w:t>
      </w:r>
    </w:p>
    <w:p w14:paraId="4519ED54"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出典:南英世(2001)「政治・経済学講義ノート」</w:t>
      </w:r>
    </w:p>
    <w:p w14:paraId="0EB28191" w14:textId="77777777" w:rsidR="001C43F6" w:rsidRPr="001B1495" w:rsidRDefault="001C43F6" w:rsidP="001C43F6">
      <w:pPr>
        <w:rPr>
          <w:rFonts w:ascii="ＭＳ 明朝" w:eastAsia="ＭＳ 明朝" w:hAnsi="ＭＳ 明朝"/>
          <w:szCs w:val="21"/>
          <w:lang w:eastAsia="ja-JP"/>
        </w:rPr>
      </w:pPr>
    </w:p>
    <w:p w14:paraId="7121472D"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７.おわりに</w:t>
      </w:r>
    </w:p>
    <w:p w14:paraId="24B48FB2"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 xml:space="preserve">　プラザ</w:t>
      </w:r>
      <w:r>
        <w:rPr>
          <w:rFonts w:ascii="ＭＳ 明朝" w:eastAsia="ＭＳ 明朝" w:hAnsi="ＭＳ 明朝" w:hint="eastAsia"/>
          <w:szCs w:val="21"/>
          <w:lang w:eastAsia="ja-JP"/>
        </w:rPr>
        <w:t>合</w:t>
      </w:r>
      <w:r w:rsidRPr="001B1495">
        <w:rPr>
          <w:rFonts w:ascii="ＭＳ 明朝" w:eastAsia="ＭＳ 明朝" w:hAnsi="ＭＳ 明朝" w:hint="eastAsia"/>
          <w:szCs w:val="21"/>
          <w:lang w:eastAsia="ja-JP"/>
        </w:rPr>
        <w:t>意によって円高となったため、政府は当時の状況に応じて対策を打ち出し、企業も利益を得るために行動したが、結果から見ると経済的に行き過ぎたことが明らかである。当時は日本の経済学者は国家のために考え政府に建言したが、なぜバブル経済を早期に止めなかったかについては今でも議論されている。恐らく当時の状況は未曾有であり、経済学の働きも行き詰りに達していたので、誰も予想できなかった事態になってしまった</w:t>
      </w:r>
      <w:r>
        <w:rPr>
          <w:rFonts w:ascii="ＭＳ 明朝" w:hAnsi="ＭＳ 明朝" w:hint="eastAsia"/>
          <w:szCs w:val="21"/>
          <w:lang w:eastAsia="ja-JP"/>
        </w:rPr>
        <w:t>(</w:t>
      </w:r>
      <w:r>
        <w:rPr>
          <w:rFonts w:ascii="ＭＳ 明朝" w:eastAsia="ＭＳ 明朝" w:hAnsi="ＭＳ 明朝" w:hint="eastAsia"/>
          <w:szCs w:val="21"/>
          <w:lang w:eastAsia="ja-JP"/>
        </w:rPr>
        <w:t>3</w:t>
      </w:r>
      <w:r>
        <w:rPr>
          <w:rFonts w:ascii="ＭＳ 明朝" w:hAnsi="ＭＳ 明朝" w:hint="eastAsia"/>
          <w:szCs w:val="21"/>
          <w:lang w:eastAsia="ja-JP"/>
        </w:rPr>
        <w:t>)</w:t>
      </w:r>
      <w:r>
        <w:rPr>
          <w:rStyle w:val="ae"/>
          <w:rFonts w:ascii="ＭＳ 明朝" w:eastAsia="ＭＳ 明朝" w:hAnsi="ＭＳ 明朝"/>
          <w:szCs w:val="21"/>
          <w:lang w:eastAsia="ja-JP"/>
        </w:rPr>
        <w:footnoteReference w:id="3"/>
      </w:r>
      <w:r w:rsidRPr="001B1495">
        <w:rPr>
          <w:rFonts w:ascii="ＭＳ 明朝" w:eastAsia="ＭＳ 明朝" w:hAnsi="ＭＳ 明朝" w:hint="eastAsia"/>
          <w:szCs w:val="21"/>
          <w:lang w:eastAsia="ja-JP"/>
        </w:rPr>
        <w:t>。</w:t>
      </w:r>
    </w:p>
    <w:p w14:paraId="3DF96D5D"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 xml:space="preserve">　本レポートでは、プラザ合意を中心に日本の経済問題の考察を試みたが、</w:t>
      </w:r>
      <w:r>
        <w:rPr>
          <w:rFonts w:ascii="ＭＳ 明朝" w:eastAsia="ＭＳ 明朝" w:hAnsi="ＭＳ 明朝" w:hint="eastAsia"/>
          <w:szCs w:val="21"/>
          <w:lang w:eastAsia="ja-JP"/>
        </w:rPr>
        <w:t>ルーブル合意からバブル経済が崩壊し始めた</w:t>
      </w:r>
      <w:r w:rsidRPr="001B1495">
        <w:rPr>
          <w:rFonts w:ascii="ＭＳ 明朝" w:eastAsia="ＭＳ 明朝" w:hAnsi="ＭＳ 明朝" w:hint="eastAsia"/>
          <w:szCs w:val="21"/>
          <w:lang w:eastAsia="ja-JP"/>
        </w:rPr>
        <w:t>という説もあり、異なる歴史事件から考察すると結論も違ってくる。</w:t>
      </w:r>
      <w:r>
        <w:rPr>
          <w:rFonts w:ascii="ＭＳ 明朝" w:eastAsia="ＭＳ 明朝" w:hAnsi="ＭＳ 明朝" w:hint="eastAsia"/>
          <w:szCs w:val="21"/>
          <w:lang w:eastAsia="ja-JP"/>
        </w:rPr>
        <w:t>よって、</w:t>
      </w:r>
      <w:r w:rsidRPr="001B1495">
        <w:rPr>
          <w:rFonts w:ascii="ＭＳ 明朝" w:eastAsia="ＭＳ 明朝" w:hAnsi="ＭＳ 明朝" w:hint="eastAsia"/>
          <w:szCs w:val="21"/>
          <w:lang w:eastAsia="ja-JP"/>
        </w:rPr>
        <w:t>バブル経済の崩壊はプラザ合意が主因</w:t>
      </w:r>
      <w:r>
        <w:rPr>
          <w:rFonts w:ascii="ＭＳ 明朝" w:eastAsia="ＭＳ 明朝" w:hAnsi="ＭＳ 明朝" w:hint="eastAsia"/>
          <w:szCs w:val="21"/>
          <w:lang w:eastAsia="ja-JP"/>
        </w:rPr>
        <w:t>であるという</w:t>
      </w:r>
      <w:r w:rsidRPr="001B1495">
        <w:rPr>
          <w:rFonts w:ascii="ＭＳ 明朝" w:eastAsia="ＭＳ 明朝" w:hAnsi="ＭＳ 明朝" w:hint="eastAsia"/>
          <w:szCs w:val="21"/>
          <w:lang w:eastAsia="ja-JP"/>
        </w:rPr>
        <w:t>結論にする</w:t>
      </w:r>
      <w:r>
        <w:rPr>
          <w:rFonts w:ascii="ＭＳ 明朝" w:eastAsia="ＭＳ 明朝" w:hAnsi="ＭＳ 明朝" w:hint="eastAsia"/>
          <w:szCs w:val="21"/>
          <w:lang w:eastAsia="ja-JP"/>
        </w:rPr>
        <w:t>限界があるが、目的としては、プラザ合意を考察することで、</w:t>
      </w:r>
      <w:r>
        <w:rPr>
          <w:rFonts w:ascii="ＭＳ 明朝" w:hAnsi="ＭＳ 明朝" w:hint="eastAsia"/>
          <w:szCs w:val="21"/>
          <w:lang w:eastAsia="ja-JP"/>
        </w:rPr>
        <w:t>1980</w:t>
      </w:r>
      <w:r>
        <w:rPr>
          <w:rFonts w:ascii="ＭＳ 明朝" w:eastAsia="ＭＳ 明朝" w:hAnsi="ＭＳ 明朝" w:hint="eastAsia"/>
          <w:szCs w:val="21"/>
          <w:lang w:eastAsia="ja-JP"/>
        </w:rPr>
        <w:t>年代の日本経済の分水嶺となったのはプラザ合意であり、バブル経済の崩壊に導いたことが明らかになった。</w:t>
      </w:r>
    </w:p>
    <w:p w14:paraId="24E5707D" w14:textId="77777777" w:rsidR="001C43F6" w:rsidRPr="001B1495"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 xml:space="preserve">　グローバル化が進んでいる現在では、一国のバブル経済が崩壊すると世界諸国に影響を</w:t>
      </w:r>
      <w:r w:rsidRPr="001B1495">
        <w:rPr>
          <w:rFonts w:ascii="ＭＳ 明朝" w:eastAsia="ＭＳ 明朝" w:hAnsi="ＭＳ 明朝" w:hint="eastAsia"/>
          <w:szCs w:val="21"/>
          <w:lang w:eastAsia="ja-JP"/>
        </w:rPr>
        <w:lastRenderedPageBreak/>
        <w:t>与えると予想されるため、経済に関する協議は慎重に考えねばならない。</w:t>
      </w:r>
      <w:r>
        <w:rPr>
          <w:rFonts w:ascii="ＭＳ 明朝" w:eastAsia="ＭＳ 明朝" w:hAnsi="ＭＳ 明朝" w:hint="eastAsia"/>
          <w:szCs w:val="21"/>
          <w:lang w:eastAsia="ja-JP"/>
        </w:rPr>
        <w:t>今後の課題は、当時の国際情勢を考慮した上で、日本と世界各国の外交関係とプラザ合意への参加に至る経緯を考察し、プラザ合意は日本にとってどのようなものか、また国の政策や政治についても掘り下げることだと考える。</w:t>
      </w:r>
    </w:p>
    <w:p w14:paraId="11192DE0" w14:textId="77777777" w:rsidR="001C43F6" w:rsidRDefault="001C43F6" w:rsidP="001C43F6">
      <w:pPr>
        <w:rPr>
          <w:rFonts w:ascii="ＭＳ 明朝" w:eastAsia="ＭＳ 明朝" w:hAnsi="ＭＳ 明朝"/>
          <w:szCs w:val="21"/>
          <w:lang w:eastAsia="ja-JP"/>
        </w:rPr>
      </w:pPr>
    </w:p>
    <w:p w14:paraId="0E01A246" w14:textId="77777777" w:rsidR="001C43F6" w:rsidRDefault="001C43F6" w:rsidP="001C43F6">
      <w:pPr>
        <w:rPr>
          <w:rFonts w:ascii="ＭＳ 明朝" w:eastAsia="ＭＳ 明朝" w:hAnsi="ＭＳ 明朝"/>
          <w:szCs w:val="21"/>
          <w:lang w:eastAsia="ja-JP"/>
        </w:rPr>
      </w:pPr>
      <w:r>
        <w:rPr>
          <w:rFonts w:ascii="ＭＳ 明朝" w:eastAsia="ＭＳ 明朝" w:hAnsi="ＭＳ 明朝" w:hint="eastAsia"/>
          <w:szCs w:val="21"/>
          <w:lang w:eastAsia="ja-JP"/>
        </w:rPr>
        <w:t>参考文献</w:t>
      </w:r>
    </w:p>
    <w:p w14:paraId="6FBB1E3C" w14:textId="77777777" w:rsidR="001C43F6" w:rsidRDefault="001C43F6" w:rsidP="001C43F6">
      <w:pPr>
        <w:rPr>
          <w:rFonts w:ascii="ＭＳ 明朝" w:eastAsia="ＭＳ 明朝" w:hAnsi="ＭＳ 明朝"/>
          <w:szCs w:val="21"/>
          <w:lang w:eastAsia="ja-JP"/>
        </w:rPr>
      </w:pPr>
      <w:r>
        <w:rPr>
          <w:rFonts w:ascii="ＭＳ 明朝" w:eastAsia="ＭＳ 明朝" w:hAnsi="ＭＳ 明朝" w:hint="eastAsia"/>
          <w:szCs w:val="21"/>
          <w:lang w:eastAsia="ja-JP"/>
        </w:rPr>
        <w:t>池上彰</w:t>
      </w:r>
      <w:r>
        <w:rPr>
          <w:rFonts w:ascii="ＭＳ 明朝" w:hAnsi="ＭＳ 明朝" w:hint="eastAsia"/>
          <w:szCs w:val="21"/>
          <w:lang w:eastAsia="ja-JP"/>
        </w:rPr>
        <w:t>(</w:t>
      </w:r>
      <w:r>
        <w:rPr>
          <w:rFonts w:ascii="ＭＳ 明朝" w:hAnsi="ＭＳ 明朝"/>
          <w:szCs w:val="21"/>
          <w:lang w:eastAsia="ja-JP"/>
        </w:rPr>
        <w:t>2015</w:t>
      </w:r>
      <w:r>
        <w:rPr>
          <w:rFonts w:ascii="ＭＳ 明朝" w:hAnsi="ＭＳ 明朝" w:hint="eastAsia"/>
          <w:szCs w:val="21"/>
          <w:lang w:eastAsia="ja-JP"/>
        </w:rPr>
        <w:t>)</w:t>
      </w:r>
      <w:r>
        <w:rPr>
          <w:rFonts w:ascii="ＭＳ 明朝" w:eastAsia="ＭＳ 明朝" w:hAnsi="ＭＳ 明朝" w:hint="eastAsia"/>
          <w:szCs w:val="21"/>
          <w:lang w:eastAsia="ja-JP"/>
        </w:rPr>
        <w:t>『池上彰の「経済学」講義　歴史編』株式会社KADOKAWA</w:t>
      </w:r>
    </w:p>
    <w:p w14:paraId="7883D695" w14:textId="77777777" w:rsidR="001C43F6" w:rsidRPr="002B580C" w:rsidRDefault="001C43F6" w:rsidP="001C43F6">
      <w:pPr>
        <w:rPr>
          <w:rFonts w:ascii="ＭＳ 明朝" w:eastAsia="ＭＳ 明朝" w:hAnsi="ＭＳ 明朝"/>
          <w:szCs w:val="21"/>
          <w:lang w:eastAsia="ja-JP"/>
        </w:rPr>
      </w:pPr>
      <w:r w:rsidRPr="001B1495">
        <w:rPr>
          <w:rFonts w:ascii="ＭＳ 明朝" w:eastAsia="ＭＳ 明朝" w:hAnsi="ＭＳ 明朝"/>
          <w:szCs w:val="21"/>
          <w:lang w:eastAsia="ja-JP"/>
        </w:rPr>
        <w:t>小川</w:t>
      </w:r>
      <w:r w:rsidRPr="001B1495">
        <w:rPr>
          <w:rFonts w:ascii="ＭＳ 明朝" w:eastAsia="ＭＳ 明朝" w:hAnsi="ＭＳ 明朝" w:hint="eastAsia"/>
          <w:szCs w:val="21"/>
          <w:lang w:eastAsia="ja-JP"/>
        </w:rPr>
        <w:t>一</w:t>
      </w:r>
      <w:r w:rsidRPr="001B1495">
        <w:rPr>
          <w:rFonts w:ascii="ＭＳ 明朝" w:eastAsia="ＭＳ 明朝" w:hAnsi="ＭＳ 明朝"/>
          <w:szCs w:val="21"/>
          <w:lang w:eastAsia="ja-JP"/>
        </w:rPr>
        <w:t>夫</w:t>
      </w:r>
      <w:r w:rsidRPr="001B1495">
        <w:rPr>
          <w:rFonts w:ascii="ＭＳ 明朝" w:eastAsia="ＭＳ 明朝" w:hAnsi="ＭＳ 明朝" w:hint="eastAsia"/>
          <w:szCs w:val="21"/>
          <w:lang w:eastAsia="ja-JP"/>
        </w:rPr>
        <w:t>(</w:t>
      </w:r>
      <w:r w:rsidRPr="001B1495">
        <w:rPr>
          <w:rFonts w:ascii="ＭＳ 明朝" w:eastAsia="ＭＳ 明朝" w:hAnsi="ＭＳ 明朝"/>
          <w:szCs w:val="21"/>
          <w:lang w:eastAsia="ja-JP"/>
        </w:rPr>
        <w:t>2009</w:t>
      </w:r>
      <w:r w:rsidRPr="001B1495">
        <w:rPr>
          <w:rFonts w:ascii="ＭＳ 明朝" w:eastAsia="ＭＳ 明朝" w:hAnsi="ＭＳ 明朝" w:hint="eastAsia"/>
          <w:szCs w:val="21"/>
          <w:lang w:eastAsia="ja-JP"/>
        </w:rPr>
        <w:t>)</w:t>
      </w:r>
      <w:r>
        <w:rPr>
          <w:rFonts w:ascii="ＭＳ 明朝" w:eastAsia="ＭＳ 明朝" w:hAnsi="ＭＳ 明朝" w:hint="eastAsia"/>
          <w:szCs w:val="21"/>
          <w:lang w:eastAsia="ja-JP"/>
        </w:rPr>
        <w:t>『</w:t>
      </w:r>
      <w:r w:rsidRPr="001B1495">
        <w:rPr>
          <w:rFonts w:ascii="ＭＳ 明朝" w:eastAsia="ＭＳ 明朝" w:hAnsi="ＭＳ 明朝" w:hint="eastAsia"/>
          <w:szCs w:val="21"/>
          <w:lang w:eastAsia="ja-JP"/>
        </w:rPr>
        <w:t>「失われた10年」</w:t>
      </w:r>
      <w:r w:rsidRPr="001B1495">
        <w:rPr>
          <w:rFonts w:ascii="ＭＳ 明朝" w:eastAsia="ＭＳ 明朝" w:hAnsi="ＭＳ 明朝"/>
          <w:szCs w:val="21"/>
          <w:lang w:eastAsia="ja-JP"/>
        </w:rPr>
        <w:t>の真実</w:t>
      </w:r>
      <w:r w:rsidRPr="001B1495">
        <w:rPr>
          <w:rFonts w:ascii="ＭＳ 明朝" w:eastAsia="ＭＳ 明朝" w:hAnsi="ＭＳ 明朝" w:hint="eastAsia"/>
          <w:szCs w:val="21"/>
          <w:lang w:eastAsia="ja-JP"/>
        </w:rPr>
        <w:t>(実体経済</w:t>
      </w:r>
      <w:r w:rsidRPr="001B1495">
        <w:rPr>
          <w:rFonts w:ascii="ＭＳ 明朝" w:eastAsia="ＭＳ 明朝" w:hAnsi="ＭＳ 明朝"/>
          <w:szCs w:val="21"/>
          <w:lang w:eastAsia="ja-JP"/>
        </w:rPr>
        <w:t>と金融システムの相克</w:t>
      </w:r>
      <w:r w:rsidRPr="001B1495">
        <w:rPr>
          <w:rFonts w:ascii="ＭＳ 明朝" w:eastAsia="ＭＳ 明朝" w:hAnsi="ＭＳ 明朝" w:hint="eastAsia"/>
          <w:szCs w:val="21"/>
          <w:lang w:eastAsia="ja-JP"/>
        </w:rPr>
        <w:t>)</w:t>
      </w:r>
      <w:r>
        <w:rPr>
          <w:rFonts w:ascii="ＭＳ 明朝" w:eastAsia="ＭＳ 明朝" w:hAnsi="ＭＳ 明朝" w:hint="eastAsia"/>
          <w:szCs w:val="21"/>
          <w:lang w:eastAsia="ja-JP"/>
        </w:rPr>
        <w:t>』</w:t>
      </w:r>
      <w:r w:rsidRPr="001B1495">
        <w:rPr>
          <w:rFonts w:ascii="ＭＳ 明朝" w:eastAsia="ＭＳ 明朝" w:hAnsi="ＭＳ 明朝" w:hint="eastAsia"/>
          <w:szCs w:val="21"/>
          <w:lang w:eastAsia="ja-JP"/>
        </w:rPr>
        <w:t>東洋経済</w:t>
      </w:r>
      <w:r w:rsidRPr="001B1495">
        <w:rPr>
          <w:rFonts w:ascii="ＭＳ 明朝" w:eastAsia="ＭＳ 明朝" w:hAnsi="ＭＳ 明朝"/>
          <w:szCs w:val="21"/>
          <w:lang w:eastAsia="ja-JP"/>
        </w:rPr>
        <w:t>新報</w:t>
      </w:r>
      <w:r w:rsidRPr="001B1495">
        <w:rPr>
          <w:rFonts w:ascii="ＭＳ 明朝" w:eastAsia="ＭＳ 明朝" w:hAnsi="ＭＳ 明朝" w:hint="eastAsia"/>
          <w:szCs w:val="21"/>
          <w:lang w:eastAsia="ja-JP"/>
        </w:rPr>
        <w:t>社</w:t>
      </w:r>
    </w:p>
    <w:p w14:paraId="74CC1CD1" w14:textId="77777777" w:rsidR="001C43F6" w:rsidRPr="002B580C" w:rsidRDefault="001C43F6" w:rsidP="001C43F6">
      <w:pPr>
        <w:rPr>
          <w:rFonts w:ascii="ＭＳ 明朝" w:eastAsia="ＭＳ 明朝" w:hAnsi="ＭＳ 明朝" w:cs="Arial"/>
          <w:szCs w:val="21"/>
          <w:lang w:eastAsia="ja-JP"/>
        </w:rPr>
      </w:pPr>
      <w:r w:rsidRPr="001B1495">
        <w:rPr>
          <w:rFonts w:ascii="ＭＳ 明朝" w:eastAsia="ＭＳ 明朝" w:hAnsi="ＭＳ 明朝" w:hint="eastAsia"/>
          <w:szCs w:val="21"/>
          <w:lang w:eastAsia="ja-JP"/>
        </w:rPr>
        <w:t>勝又一成</w:t>
      </w:r>
      <w:r w:rsidRPr="001B1495">
        <w:rPr>
          <w:rFonts w:ascii="ＭＳ 明朝" w:eastAsia="ＭＳ 明朝" w:hAnsi="ＭＳ 明朝" w:cs="Arial" w:hint="eastAsia"/>
          <w:szCs w:val="21"/>
          <w:lang w:eastAsia="ja-JP"/>
        </w:rPr>
        <w:t>(2013)</w:t>
      </w:r>
      <w:r w:rsidRPr="001B1495">
        <w:rPr>
          <w:rFonts w:ascii="ＭＳ 明朝" w:eastAsia="ＭＳ 明朝" w:hAnsi="ＭＳ 明朝" w:hint="eastAsia"/>
          <w:szCs w:val="21"/>
          <w:lang w:eastAsia="ja-JP"/>
        </w:rPr>
        <w:t>「「プラザ合意」によるバブル経済への道」</w:t>
      </w:r>
      <w:r w:rsidRPr="001B1495">
        <w:rPr>
          <w:rFonts w:ascii="ＭＳ 明朝" w:eastAsia="ＭＳ 明朝" w:hAnsi="ＭＳ 明朝" w:cs="Arial" w:hint="eastAsia"/>
          <w:szCs w:val="21"/>
          <w:lang w:eastAsia="ja-JP"/>
        </w:rPr>
        <w:t>東京経営短期大学紀要</w:t>
      </w:r>
    </w:p>
    <w:p w14:paraId="557A8685" w14:textId="77777777" w:rsidR="001C43F6" w:rsidRDefault="001C43F6" w:rsidP="001C43F6">
      <w:pPr>
        <w:rPr>
          <w:rFonts w:ascii="ＭＳ 明朝" w:eastAsia="ＭＳ 明朝" w:hAnsi="ＭＳ 明朝"/>
          <w:szCs w:val="21"/>
          <w:lang w:eastAsia="ja-JP"/>
        </w:rPr>
      </w:pPr>
      <w:r w:rsidRPr="001B1495">
        <w:rPr>
          <w:rFonts w:ascii="ＭＳ 明朝" w:eastAsia="ＭＳ 明朝" w:hAnsi="ＭＳ 明朝" w:hint="eastAsia"/>
          <w:szCs w:val="21"/>
          <w:lang w:eastAsia="ja-JP"/>
        </w:rPr>
        <w:t>東野裕夫(</w:t>
      </w:r>
      <w:r w:rsidRPr="001B1495">
        <w:rPr>
          <w:rFonts w:ascii="ＭＳ 明朝" w:eastAsia="ＭＳ 明朝" w:hAnsi="ＭＳ 明朝"/>
          <w:szCs w:val="21"/>
          <w:lang w:eastAsia="ja-JP"/>
        </w:rPr>
        <w:t>2015</w:t>
      </w:r>
      <w:r w:rsidRPr="001B1495">
        <w:rPr>
          <w:rFonts w:ascii="ＭＳ 明朝" w:eastAsia="ＭＳ 明朝" w:hAnsi="ＭＳ 明朝" w:hint="eastAsia"/>
          <w:szCs w:val="21"/>
          <w:lang w:eastAsia="ja-JP"/>
        </w:rPr>
        <w:t>)「プラザ合意再考~政治敗戦か、それとも経済敗戦か」国際政経論叢</w:t>
      </w:r>
    </w:p>
    <w:p w14:paraId="58877B40" w14:textId="77777777" w:rsidR="001C43F6" w:rsidRPr="00F2769E" w:rsidRDefault="001C43F6" w:rsidP="001C43F6">
      <w:pPr>
        <w:rPr>
          <w:rFonts w:ascii="ＭＳ 明朝" w:eastAsia="ＭＳ 明朝" w:hAnsi="ＭＳ 明朝"/>
          <w:szCs w:val="21"/>
          <w:lang w:eastAsia="ja-JP"/>
        </w:rPr>
      </w:pPr>
      <w:r>
        <w:rPr>
          <w:rFonts w:ascii="ＭＳ 明朝" w:eastAsia="ＭＳ 明朝" w:hAnsi="ＭＳ 明朝" w:hint="eastAsia"/>
          <w:szCs w:val="21"/>
          <w:lang w:eastAsia="ja-JP"/>
        </w:rPr>
        <w:t>ミルトン・フリードマン</w:t>
      </w:r>
      <w:r>
        <w:rPr>
          <w:rFonts w:ascii="ＭＳ 明朝" w:hAnsi="ＭＳ 明朝" w:hint="eastAsia"/>
          <w:szCs w:val="21"/>
          <w:lang w:eastAsia="ja-JP"/>
        </w:rPr>
        <w:t>(</w:t>
      </w:r>
      <w:r>
        <w:rPr>
          <w:rFonts w:ascii="ＭＳ 明朝" w:hAnsi="ＭＳ 明朝"/>
          <w:szCs w:val="21"/>
          <w:lang w:eastAsia="ja-JP"/>
        </w:rPr>
        <w:t>1996</w:t>
      </w:r>
      <w:r>
        <w:rPr>
          <w:rFonts w:ascii="ＭＳ 明朝" w:hAnsi="ＭＳ 明朝" w:hint="eastAsia"/>
          <w:szCs w:val="21"/>
          <w:lang w:eastAsia="ja-JP"/>
        </w:rPr>
        <w:t>)</w:t>
      </w:r>
      <w:r>
        <w:rPr>
          <w:rFonts w:ascii="ＭＳ 明朝" w:eastAsia="ＭＳ 明朝" w:hAnsi="ＭＳ 明朝" w:hint="eastAsia"/>
          <w:szCs w:val="21"/>
          <w:lang w:eastAsia="ja-JP"/>
        </w:rPr>
        <w:t>「世界の機会拡大について語ろう」ダイヤモンド社「</w:t>
      </w:r>
      <w:r>
        <w:rPr>
          <w:rFonts w:ascii="ＭＳ 明朝" w:eastAsia="ＭＳ 明朝" w:hAnsi="ＭＳ 明朝" w:hint="eastAsia"/>
          <w:bCs/>
          <w:color w:val="131313"/>
          <w:szCs w:val="21"/>
          <w:lang w:eastAsia="ja-JP"/>
        </w:rPr>
        <w:t>グローバルビジネス」</w:t>
      </w:r>
      <w:r w:rsidRPr="002B580C">
        <w:rPr>
          <w:rFonts w:ascii="ＭＳ 明朝" w:eastAsia="ＭＳ 明朝" w:hAnsi="ＭＳ 明朝" w:hint="eastAsia"/>
          <w:bCs/>
          <w:color w:val="131313"/>
          <w:szCs w:val="21"/>
          <w:lang w:eastAsia="ja-JP"/>
        </w:rPr>
        <w:t>1994年</w:t>
      </w:r>
      <w:r>
        <w:rPr>
          <w:rFonts w:ascii="ＭＳ 明朝" w:hAnsi="ＭＳ 明朝" w:hint="eastAsia"/>
          <w:bCs/>
          <w:color w:val="131313"/>
          <w:szCs w:val="21"/>
          <w:lang w:eastAsia="ja-JP"/>
        </w:rPr>
        <w:t>1</w:t>
      </w:r>
      <w:r w:rsidRPr="002B580C">
        <w:rPr>
          <w:rFonts w:ascii="ＭＳ 明朝" w:eastAsia="ＭＳ 明朝" w:hAnsi="ＭＳ 明朝" w:hint="eastAsia"/>
          <w:bCs/>
          <w:color w:val="131313"/>
          <w:szCs w:val="21"/>
          <w:lang w:eastAsia="ja-JP"/>
        </w:rPr>
        <w:t>月</w:t>
      </w:r>
      <w:r>
        <w:rPr>
          <w:rFonts w:ascii="ＭＳ 明朝" w:hAnsi="ＭＳ 明朝" w:hint="eastAsia"/>
          <w:bCs/>
          <w:color w:val="131313"/>
          <w:szCs w:val="21"/>
          <w:lang w:eastAsia="ja-JP"/>
        </w:rPr>
        <w:t>1</w:t>
      </w:r>
      <w:r w:rsidRPr="002B580C">
        <w:rPr>
          <w:rFonts w:ascii="ＭＳ 明朝" w:eastAsia="ＭＳ 明朝" w:hAnsi="ＭＳ 明朝" w:hint="eastAsia"/>
          <w:bCs/>
          <w:color w:val="131313"/>
          <w:szCs w:val="21"/>
          <w:lang w:eastAsia="ja-JP"/>
        </w:rPr>
        <w:t>日号掲載</w:t>
      </w:r>
    </w:p>
    <w:p w14:paraId="11F7233F" w14:textId="77777777" w:rsidR="001C43F6" w:rsidRDefault="001C43F6" w:rsidP="001C43F6">
      <w:pPr>
        <w:rPr>
          <w:rFonts w:ascii="游明朝" w:eastAsia="游明朝" w:hAnsi="游明朝"/>
          <w:szCs w:val="21"/>
          <w:lang w:eastAsia="ja-JP"/>
        </w:rPr>
      </w:pPr>
    </w:p>
    <w:p w14:paraId="5F4C17CA" w14:textId="77777777" w:rsidR="00281BFD" w:rsidRDefault="00281BFD" w:rsidP="001C43F6">
      <w:pPr>
        <w:rPr>
          <w:rFonts w:ascii="游明朝" w:eastAsia="游明朝" w:hAnsi="游明朝"/>
          <w:szCs w:val="21"/>
          <w:lang w:eastAsia="ja-JP"/>
        </w:rPr>
      </w:pPr>
    </w:p>
    <w:p w14:paraId="05397D39" w14:textId="77777777" w:rsidR="00281BFD" w:rsidRDefault="00281BFD" w:rsidP="001C43F6">
      <w:pPr>
        <w:rPr>
          <w:rFonts w:ascii="游明朝" w:eastAsia="游明朝" w:hAnsi="游明朝"/>
          <w:szCs w:val="21"/>
          <w:lang w:eastAsia="ja-JP"/>
        </w:rPr>
      </w:pPr>
    </w:p>
    <w:p w14:paraId="0985A936" w14:textId="77777777" w:rsidR="00281BFD" w:rsidRDefault="00281BFD" w:rsidP="001C43F6">
      <w:pPr>
        <w:rPr>
          <w:rFonts w:ascii="游明朝" w:eastAsia="游明朝" w:hAnsi="游明朝"/>
          <w:szCs w:val="21"/>
          <w:lang w:eastAsia="ja-JP"/>
        </w:rPr>
      </w:pPr>
    </w:p>
    <w:p w14:paraId="67B92441" w14:textId="77777777" w:rsidR="00281BFD" w:rsidRDefault="00281BFD" w:rsidP="001C43F6">
      <w:pPr>
        <w:rPr>
          <w:rFonts w:ascii="游明朝" w:eastAsia="游明朝" w:hAnsi="游明朝"/>
          <w:szCs w:val="21"/>
          <w:lang w:eastAsia="ja-JP"/>
        </w:rPr>
      </w:pPr>
    </w:p>
    <w:p w14:paraId="44B0AED3" w14:textId="77777777" w:rsidR="00281BFD" w:rsidRDefault="00281BFD" w:rsidP="001C43F6">
      <w:pPr>
        <w:rPr>
          <w:rFonts w:ascii="游明朝" w:eastAsia="游明朝" w:hAnsi="游明朝"/>
          <w:szCs w:val="21"/>
          <w:lang w:eastAsia="ja-JP"/>
        </w:rPr>
      </w:pPr>
    </w:p>
    <w:p w14:paraId="492FACFE" w14:textId="77777777" w:rsidR="00281BFD" w:rsidRDefault="00281BFD" w:rsidP="001C43F6">
      <w:pPr>
        <w:rPr>
          <w:rFonts w:ascii="游明朝" w:eastAsia="游明朝" w:hAnsi="游明朝"/>
          <w:szCs w:val="21"/>
          <w:lang w:eastAsia="ja-JP"/>
        </w:rPr>
      </w:pPr>
    </w:p>
    <w:p w14:paraId="450C6C08" w14:textId="77777777" w:rsidR="00281BFD" w:rsidRDefault="00281BFD" w:rsidP="001C43F6">
      <w:pPr>
        <w:rPr>
          <w:rFonts w:ascii="游明朝" w:eastAsia="游明朝" w:hAnsi="游明朝"/>
          <w:szCs w:val="21"/>
          <w:lang w:eastAsia="ja-JP"/>
        </w:rPr>
      </w:pPr>
    </w:p>
    <w:p w14:paraId="08994DFE" w14:textId="77777777" w:rsidR="00281BFD" w:rsidRDefault="00281BFD" w:rsidP="001C43F6">
      <w:pPr>
        <w:rPr>
          <w:rFonts w:ascii="游明朝" w:eastAsia="游明朝" w:hAnsi="游明朝"/>
          <w:szCs w:val="21"/>
          <w:lang w:eastAsia="ja-JP"/>
        </w:rPr>
      </w:pPr>
    </w:p>
    <w:p w14:paraId="7C51D001" w14:textId="77777777" w:rsidR="00281BFD" w:rsidRDefault="00281BFD" w:rsidP="001C43F6">
      <w:pPr>
        <w:rPr>
          <w:rFonts w:ascii="游明朝" w:eastAsia="游明朝" w:hAnsi="游明朝"/>
          <w:szCs w:val="21"/>
          <w:lang w:eastAsia="ja-JP"/>
        </w:rPr>
      </w:pPr>
    </w:p>
    <w:p w14:paraId="69A5A22F" w14:textId="77777777" w:rsidR="00281BFD" w:rsidRDefault="00281BFD" w:rsidP="001C43F6">
      <w:pPr>
        <w:rPr>
          <w:rFonts w:ascii="游明朝" w:eastAsia="游明朝" w:hAnsi="游明朝"/>
          <w:szCs w:val="21"/>
          <w:lang w:eastAsia="ja-JP"/>
        </w:rPr>
      </w:pPr>
    </w:p>
    <w:p w14:paraId="124BCD9A" w14:textId="77777777" w:rsidR="00281BFD" w:rsidRDefault="00281BFD" w:rsidP="001C43F6">
      <w:pPr>
        <w:rPr>
          <w:rFonts w:ascii="游明朝" w:eastAsia="游明朝" w:hAnsi="游明朝"/>
          <w:szCs w:val="21"/>
          <w:lang w:eastAsia="ja-JP"/>
        </w:rPr>
      </w:pPr>
    </w:p>
    <w:p w14:paraId="011B4F56" w14:textId="77777777" w:rsidR="00281BFD" w:rsidRDefault="00281BFD" w:rsidP="001C43F6">
      <w:pPr>
        <w:rPr>
          <w:rFonts w:ascii="游明朝" w:eastAsia="游明朝" w:hAnsi="游明朝"/>
          <w:szCs w:val="21"/>
          <w:lang w:eastAsia="ja-JP"/>
        </w:rPr>
      </w:pPr>
    </w:p>
    <w:p w14:paraId="0FBF472C" w14:textId="77777777" w:rsidR="00281BFD" w:rsidRDefault="00281BFD" w:rsidP="001C43F6">
      <w:pPr>
        <w:rPr>
          <w:rFonts w:ascii="游明朝" w:eastAsia="游明朝" w:hAnsi="游明朝"/>
          <w:szCs w:val="21"/>
          <w:lang w:eastAsia="ja-JP"/>
        </w:rPr>
      </w:pPr>
    </w:p>
    <w:p w14:paraId="381A2DEA" w14:textId="77777777" w:rsidR="00281BFD" w:rsidRDefault="00281BFD" w:rsidP="001C43F6">
      <w:pPr>
        <w:rPr>
          <w:rFonts w:ascii="游明朝" w:eastAsia="游明朝" w:hAnsi="游明朝"/>
          <w:szCs w:val="21"/>
          <w:lang w:eastAsia="ja-JP"/>
        </w:rPr>
      </w:pPr>
    </w:p>
    <w:p w14:paraId="12D16C37" w14:textId="77777777" w:rsidR="00627C4F" w:rsidRDefault="00627C4F" w:rsidP="000B3A92">
      <w:pPr>
        <w:jc w:val="center"/>
        <w:rPr>
          <w:rFonts w:ascii="ＭＳ 明朝" w:eastAsia="ＭＳ 明朝" w:hAnsi="ＭＳ 明朝"/>
          <w:bCs/>
          <w:sz w:val="24"/>
          <w:szCs w:val="24"/>
          <w:lang w:eastAsia="ja-JP"/>
        </w:rPr>
      </w:pPr>
    </w:p>
    <w:p w14:paraId="325A5F85" w14:textId="77777777" w:rsidR="000B3A92" w:rsidRPr="008C6DFD" w:rsidRDefault="000B3A92" w:rsidP="000B3A92">
      <w:pPr>
        <w:jc w:val="center"/>
        <w:rPr>
          <w:rFonts w:ascii="ＭＳ 明朝" w:eastAsia="ＭＳ 明朝" w:hAnsi="ＭＳ 明朝"/>
          <w:bCs/>
          <w:sz w:val="24"/>
          <w:szCs w:val="24"/>
          <w:lang w:eastAsia="ja-JP"/>
        </w:rPr>
      </w:pPr>
      <w:r w:rsidRPr="008C6DFD">
        <w:rPr>
          <w:rFonts w:ascii="ＭＳ 明朝" w:eastAsia="ＭＳ 明朝" w:hAnsi="ＭＳ 明朝"/>
          <w:bCs/>
          <w:sz w:val="24"/>
          <w:szCs w:val="24"/>
          <w:lang w:eastAsia="ja-JP"/>
        </w:rPr>
        <w:lastRenderedPageBreak/>
        <w:t>漢字学習―視覚記憶と連想記憶の比較研究―</w:t>
      </w:r>
    </w:p>
    <w:p w14:paraId="500F40E4" w14:textId="77777777" w:rsidR="000B3A92" w:rsidRDefault="000B3A92" w:rsidP="000B3A92">
      <w:pPr>
        <w:jc w:val="center"/>
        <w:rPr>
          <w:rFonts w:ascii="ＭＳ 明朝" w:eastAsia="ＭＳ 明朝" w:hAnsi="ＭＳ 明朝"/>
          <w:szCs w:val="21"/>
          <w:lang w:eastAsia="ja-JP"/>
        </w:rPr>
      </w:pPr>
    </w:p>
    <w:p w14:paraId="743940EB" w14:textId="77777777" w:rsidR="000B3A92" w:rsidRDefault="000B3A92" w:rsidP="000B3A92">
      <w:pPr>
        <w:jc w:val="right"/>
        <w:rPr>
          <w:szCs w:val="21"/>
        </w:rPr>
      </w:pPr>
      <w:r>
        <w:rPr>
          <w:rFonts w:ascii="ＭＳ 明朝" w:eastAsia="ＭＳ 明朝" w:hAnsi="ＭＳ 明朝"/>
          <w:szCs w:val="21"/>
          <w:lang w:eastAsia="ja-JP"/>
        </w:rPr>
        <w:t>ジェリン・ジョー・トーマス</w:t>
      </w:r>
    </w:p>
    <w:p w14:paraId="50FA80CD" w14:textId="77777777" w:rsidR="000B3A92" w:rsidRDefault="000B3A92" w:rsidP="000B3A92">
      <w:pPr>
        <w:jc w:val="right"/>
        <w:rPr>
          <w:rFonts w:ascii="ＭＳ 明朝" w:eastAsia="ＭＳ 明朝" w:hAnsi="ＭＳ 明朝"/>
          <w:szCs w:val="21"/>
          <w:lang w:eastAsia="ja-JP"/>
        </w:rPr>
      </w:pPr>
    </w:p>
    <w:p w14:paraId="352C1ADB" w14:textId="77777777" w:rsidR="000B3A92" w:rsidRPr="008C6DFD" w:rsidRDefault="000B3A92" w:rsidP="000B3A92">
      <w:pPr>
        <w:rPr>
          <w:rFonts w:ascii="ＭＳ 明朝" w:eastAsia="ＭＳ 明朝" w:hAnsi="ＭＳ 明朝"/>
          <w:bCs/>
          <w:lang w:eastAsia="ja-JP"/>
        </w:rPr>
      </w:pPr>
      <w:r w:rsidRPr="008C6DFD">
        <w:rPr>
          <w:rFonts w:ascii="ＭＳ 明朝" w:eastAsia="ＭＳ 明朝" w:hAnsi="ＭＳ 明朝"/>
          <w:bCs/>
          <w:szCs w:val="21"/>
          <w:lang w:eastAsia="ja-JP"/>
        </w:rPr>
        <w:t>１．はじめに</w:t>
      </w:r>
    </w:p>
    <w:p w14:paraId="73FF2538" w14:textId="77777777" w:rsidR="000B3A92" w:rsidRDefault="000B3A92" w:rsidP="000B3A92">
      <w:pPr>
        <w:rPr>
          <w:szCs w:val="21"/>
        </w:rPr>
      </w:pPr>
      <w:r>
        <w:rPr>
          <w:rFonts w:ascii="ＭＳ 明朝" w:eastAsia="ＭＳ 明朝" w:hAnsi="ＭＳ 明朝"/>
          <w:szCs w:val="21"/>
          <w:lang w:eastAsia="ja-JP"/>
        </w:rPr>
        <w:t xml:space="preserve">　非漢字圏の日本語学習者は幼い頃から漢字を勉強してこなかったため、漢字圏の学習者と比べて漢字への態度と勉強するときの経験が違う。それでも今まで漢字圏と非漢字圏の学習者が使われてきた漢字学習法はほぼ同じである。要するに同じ漢字を何回も繰り返して書いたり、その意味と読み方を無理やり脳に叩き込んだりして記憶するという学習法。この学習法には問題点が多くある。画数の多い漢字を見せればその漢字を認識して意味と読み方を容易く思い出せる自信はあるが、逆に意味と読み方だけでその漢字を書くことはできない人が多い。それはこうした学習法は漢字の学習より漢字の認識に特化しているからである。</w:t>
      </w:r>
    </w:p>
    <w:p w14:paraId="1E43CE5B" w14:textId="77777777" w:rsidR="000B3A92" w:rsidRDefault="000B3A92" w:rsidP="000B3A92">
      <w:pPr>
        <w:rPr>
          <w:szCs w:val="21"/>
        </w:rPr>
      </w:pPr>
      <w:r>
        <w:rPr>
          <w:rFonts w:ascii="ＭＳ 明朝" w:eastAsia="ＭＳ 明朝" w:hAnsi="ＭＳ 明朝"/>
          <w:szCs w:val="21"/>
          <w:lang w:eastAsia="ja-JP"/>
        </w:rPr>
        <w:t xml:space="preserve">　本レポートではこの学習法を「視覚記憶」と称し、物事を知覚してそのイメージに変化せず、そのままその情報を処理し、脳に記憶することと定義する。その一方</w:t>
      </w:r>
      <w:r>
        <w:rPr>
          <w:rFonts w:eastAsia="ＭＳ 明朝"/>
          <w:szCs w:val="21"/>
          <w:lang w:eastAsia="ja-JP"/>
        </w:rPr>
        <w:t>、「連想記憶」を物事の知覚をしてそのイメージに何か覚えやすいものを連想してその連想されたものを脳に記憶することと定義する。</w:t>
      </w:r>
    </w:p>
    <w:p w14:paraId="2A503A06" w14:textId="77777777" w:rsidR="000B3A92" w:rsidRDefault="000B3A92" w:rsidP="000B3A92">
      <w:pPr>
        <w:rPr>
          <w:szCs w:val="21"/>
        </w:rPr>
      </w:pPr>
      <w:r>
        <w:rPr>
          <w:rFonts w:ascii="ＭＳ 明朝" w:eastAsia="ＭＳ 明朝" w:hAnsi="ＭＳ 明朝"/>
          <w:szCs w:val="21"/>
          <w:lang w:eastAsia="ja-JP"/>
        </w:rPr>
        <w:t xml:space="preserve">　本レポートで視覚記憶が漢字の記憶には効率的でない原因とその欠点はどのように連想記憶が補うかについて考察する。そして両方の学習法についての筆者の意見を述べ、非漢字圏の学習者にとってどれがもっと効率的か客観的に検討する。</w:t>
      </w:r>
    </w:p>
    <w:p w14:paraId="62CEBE29" w14:textId="77777777" w:rsidR="000B3A92" w:rsidRDefault="000B3A92" w:rsidP="000B3A92">
      <w:pPr>
        <w:rPr>
          <w:rFonts w:ascii="ＭＳ 明朝" w:eastAsia="ＭＳ 明朝" w:hAnsi="ＭＳ 明朝"/>
          <w:szCs w:val="21"/>
          <w:lang w:eastAsia="ja-JP"/>
        </w:rPr>
      </w:pPr>
    </w:p>
    <w:p w14:paraId="30621DC3" w14:textId="77777777" w:rsidR="000B3A92" w:rsidRPr="008C6DFD" w:rsidRDefault="000B3A92" w:rsidP="000B3A92">
      <w:pPr>
        <w:rPr>
          <w:rFonts w:ascii="ＭＳ 明朝" w:eastAsia="ＭＳ 明朝" w:hAnsi="ＭＳ 明朝"/>
          <w:bCs/>
          <w:lang w:eastAsia="ja-JP"/>
        </w:rPr>
      </w:pPr>
      <w:r w:rsidRPr="008C6DFD">
        <w:rPr>
          <w:rFonts w:ascii="ＭＳ 明朝" w:eastAsia="ＭＳ 明朝" w:hAnsi="ＭＳ 明朝"/>
          <w:bCs/>
          <w:szCs w:val="21"/>
          <w:lang w:eastAsia="ja-JP"/>
        </w:rPr>
        <w:t>２．視覚記憶が利用される傾向の原因</w:t>
      </w:r>
    </w:p>
    <w:p w14:paraId="446B37F7" w14:textId="77777777" w:rsidR="000B3A92" w:rsidRDefault="000B3A92" w:rsidP="000B3A92">
      <w:pPr>
        <w:rPr>
          <w:szCs w:val="21"/>
        </w:rPr>
      </w:pPr>
      <w:r>
        <w:rPr>
          <w:rFonts w:ascii="ＭＳ 明朝" w:eastAsia="ＭＳ 明朝" w:hAnsi="ＭＳ 明朝"/>
          <w:b/>
          <w:bCs/>
          <w:szCs w:val="21"/>
          <w:lang w:eastAsia="ja-JP"/>
        </w:rPr>
        <w:t xml:space="preserve">　</w:t>
      </w:r>
      <w:r>
        <w:rPr>
          <w:rFonts w:ascii="ＭＳ 明朝" w:eastAsia="ＭＳ 明朝" w:hAnsi="ＭＳ 明朝"/>
          <w:szCs w:val="21"/>
          <w:lang w:eastAsia="ja-JP"/>
        </w:rPr>
        <w:t>視覚記憶は丸暗記と同様である。つまり、大量なデータを記憶する際は物事をカテゴリーに分けて記憶することや覚えやすいパターンを利用して記憶するなど論理的な扱いをせず、その大量のデータをそのまま脳に記憶するという学習法である。漢字圏と非漢字圏の両方の言語の学習者は視覚記憶を利用して文字を勉強する傾向がある。そこで以下の疑問点が挙げられる：</w:t>
      </w:r>
    </w:p>
    <w:p w14:paraId="4B9ACD6D" w14:textId="306F7AF9" w:rsidR="000B3A92" w:rsidRDefault="000B3A92" w:rsidP="000B3A92">
      <w:pPr>
        <w:rPr>
          <w:rFonts w:ascii="ＭＳ 明朝" w:eastAsia="ＭＳ 明朝" w:hAnsi="ＭＳ 明朝"/>
          <w:b/>
          <w:bCs/>
          <w:lang w:eastAsia="ja-JP"/>
        </w:rPr>
      </w:pPr>
      <w:r>
        <w:rPr>
          <w:rFonts w:ascii="ＭＳ 明朝" w:eastAsia="ＭＳ 明朝" w:hAnsi="ＭＳ 明朝"/>
          <w:szCs w:val="21"/>
          <w:lang w:eastAsia="ja-JP"/>
        </w:rPr>
        <w:t xml:space="preserve">　なぜあらゆる言語の文字を学習するとき、論理的に処理して記憶せず、視覚記憶が利用される傾向があるか。</w:t>
      </w:r>
    </w:p>
    <w:p w14:paraId="63FCF231" w14:textId="77777777" w:rsidR="000B3A92" w:rsidRDefault="000B3A92" w:rsidP="000B3A92">
      <w:pPr>
        <w:rPr>
          <w:rFonts w:ascii="ＭＳ 明朝" w:eastAsia="ＭＳ 明朝" w:hAnsi="ＭＳ 明朝"/>
          <w:b/>
          <w:bCs/>
          <w:lang w:eastAsia="ja-JP"/>
        </w:rPr>
      </w:pPr>
      <w:r>
        <w:rPr>
          <w:rFonts w:ascii="ＭＳ 明朝" w:eastAsia="ＭＳ 明朝" w:hAnsi="ＭＳ 明朝"/>
          <w:szCs w:val="21"/>
          <w:lang w:eastAsia="ja-JP"/>
        </w:rPr>
        <w:t xml:space="preserve">　その問を答えるにはまず記憶するときの心理を配慮する必要がある。そして「ランダム性」の概念の知識も必要である。</w:t>
      </w:r>
    </w:p>
    <w:p w14:paraId="423E2F22" w14:textId="77777777" w:rsidR="000B3A92" w:rsidRDefault="000B3A92" w:rsidP="000B3A92">
      <w:pPr>
        <w:rPr>
          <w:rFonts w:ascii="ＭＳ 明朝" w:eastAsia="ＭＳ 明朝" w:hAnsi="ＭＳ 明朝"/>
          <w:b/>
          <w:bCs/>
          <w:szCs w:val="21"/>
          <w:lang w:eastAsia="ja-JP"/>
        </w:rPr>
      </w:pPr>
      <w:r>
        <w:rPr>
          <w:rFonts w:ascii="ＭＳ 明朝" w:eastAsia="ＭＳ 明朝" w:hAnsi="ＭＳ 明朝"/>
          <w:b/>
          <w:bCs/>
          <w:noProof/>
          <w:szCs w:val="21"/>
          <w:lang w:eastAsia="ja-JP"/>
        </w:rPr>
        <w:drawing>
          <wp:anchor distT="0" distB="0" distL="0" distR="0" simplePos="0" relativeHeight="251665408" behindDoc="0" locked="0" layoutInCell="1" allowOverlap="1" wp14:anchorId="2878FA53" wp14:editId="442801C4">
            <wp:simplePos x="0" y="0"/>
            <wp:positionH relativeFrom="column">
              <wp:posOffset>1263650</wp:posOffset>
            </wp:positionH>
            <wp:positionV relativeFrom="paragraph">
              <wp:posOffset>90170</wp:posOffset>
            </wp:positionV>
            <wp:extent cx="1539240" cy="1532255"/>
            <wp:effectExtent l="0" t="0" r="0" b="0"/>
            <wp:wrapSquare wrapText="larges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8"/>
                    <a:stretch>
                      <a:fillRect/>
                    </a:stretch>
                  </pic:blipFill>
                  <pic:spPr bwMode="auto">
                    <a:xfrm>
                      <a:off x="0" y="0"/>
                      <a:ext cx="1539240" cy="1532255"/>
                    </a:xfrm>
                    <a:prstGeom prst="rect">
                      <a:avLst/>
                    </a:prstGeom>
                  </pic:spPr>
                </pic:pic>
              </a:graphicData>
            </a:graphic>
          </wp:anchor>
        </w:drawing>
      </w:r>
      <w:r>
        <w:rPr>
          <w:rFonts w:ascii="ＭＳ 明朝" w:eastAsia="ＭＳ 明朝" w:hAnsi="ＭＳ 明朝"/>
          <w:b/>
          <w:bCs/>
          <w:noProof/>
          <w:szCs w:val="21"/>
          <w:lang w:eastAsia="ja-JP"/>
        </w:rPr>
        <w:drawing>
          <wp:anchor distT="0" distB="0" distL="0" distR="0" simplePos="0" relativeHeight="251666432" behindDoc="0" locked="0" layoutInCell="1" allowOverlap="1" wp14:anchorId="4DD89E35" wp14:editId="0A3A4793">
            <wp:simplePos x="0" y="0"/>
            <wp:positionH relativeFrom="column">
              <wp:posOffset>3571240</wp:posOffset>
            </wp:positionH>
            <wp:positionV relativeFrom="paragraph">
              <wp:posOffset>100965</wp:posOffset>
            </wp:positionV>
            <wp:extent cx="1507490" cy="1548765"/>
            <wp:effectExtent l="0" t="0" r="0" b="0"/>
            <wp:wrapSquare wrapText="largest"/>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19"/>
                    <a:stretch>
                      <a:fillRect/>
                    </a:stretch>
                  </pic:blipFill>
                  <pic:spPr bwMode="auto">
                    <a:xfrm>
                      <a:off x="0" y="0"/>
                      <a:ext cx="1507490" cy="1548765"/>
                    </a:xfrm>
                    <a:prstGeom prst="rect">
                      <a:avLst/>
                    </a:prstGeom>
                  </pic:spPr>
                </pic:pic>
              </a:graphicData>
            </a:graphic>
          </wp:anchor>
        </w:drawing>
      </w:r>
    </w:p>
    <w:p w14:paraId="66A30B55" w14:textId="77777777" w:rsidR="000B3A92" w:rsidRDefault="000B3A92" w:rsidP="000B3A92">
      <w:pPr>
        <w:rPr>
          <w:rFonts w:ascii="ＭＳ 明朝" w:eastAsia="ＭＳ 明朝" w:hAnsi="ＭＳ 明朝"/>
          <w:b/>
          <w:bCs/>
          <w:szCs w:val="21"/>
          <w:lang w:eastAsia="ja-JP"/>
        </w:rPr>
      </w:pPr>
    </w:p>
    <w:p w14:paraId="17F6AFDF" w14:textId="77777777" w:rsidR="000B3A92" w:rsidRDefault="000B3A92" w:rsidP="000B3A92">
      <w:pPr>
        <w:rPr>
          <w:rFonts w:ascii="ＭＳ 明朝" w:eastAsia="ＭＳ 明朝" w:hAnsi="ＭＳ 明朝"/>
          <w:b/>
          <w:bCs/>
          <w:szCs w:val="21"/>
          <w:lang w:eastAsia="ja-JP"/>
        </w:rPr>
      </w:pPr>
    </w:p>
    <w:p w14:paraId="6DC5B861" w14:textId="77777777" w:rsidR="000B3A92" w:rsidRDefault="000B3A92" w:rsidP="000B3A92">
      <w:pPr>
        <w:rPr>
          <w:rFonts w:ascii="ＭＳ 明朝" w:eastAsia="ＭＳ 明朝" w:hAnsi="ＭＳ 明朝"/>
          <w:b/>
          <w:bCs/>
          <w:szCs w:val="21"/>
          <w:lang w:eastAsia="ja-JP"/>
        </w:rPr>
      </w:pPr>
    </w:p>
    <w:p w14:paraId="553F4E2F" w14:textId="77777777" w:rsidR="000B3A92" w:rsidRDefault="000B3A92" w:rsidP="000B3A92">
      <w:pPr>
        <w:rPr>
          <w:rFonts w:ascii="ＭＳ 明朝" w:eastAsia="ＭＳ 明朝" w:hAnsi="ＭＳ 明朝"/>
          <w:b/>
          <w:bCs/>
          <w:szCs w:val="21"/>
          <w:lang w:eastAsia="ja-JP"/>
        </w:rPr>
      </w:pPr>
    </w:p>
    <w:p w14:paraId="78A73EF5" w14:textId="77777777" w:rsidR="000B3A92" w:rsidRDefault="000B3A92" w:rsidP="000B3A92">
      <w:pPr>
        <w:rPr>
          <w:rFonts w:ascii="ＭＳ 明朝" w:eastAsia="ＭＳ 明朝" w:hAnsi="ＭＳ 明朝"/>
          <w:b/>
          <w:bCs/>
          <w:szCs w:val="21"/>
          <w:lang w:eastAsia="ja-JP"/>
        </w:rPr>
      </w:pPr>
    </w:p>
    <w:p w14:paraId="43272DB2" w14:textId="77777777" w:rsidR="000B3A92" w:rsidRDefault="000B3A92" w:rsidP="000B3A92">
      <w:pPr>
        <w:rPr>
          <w:rFonts w:ascii="ＭＳ 明朝" w:eastAsia="ＭＳ 明朝" w:hAnsi="ＭＳ 明朝"/>
          <w:b/>
          <w:bCs/>
          <w:szCs w:val="21"/>
          <w:lang w:eastAsia="ja-JP"/>
        </w:rPr>
      </w:pPr>
    </w:p>
    <w:p w14:paraId="5110E6B2" w14:textId="77777777" w:rsidR="000B3A92" w:rsidRDefault="000B3A92" w:rsidP="000B3A92">
      <w:pPr>
        <w:rPr>
          <w:rFonts w:ascii="ＭＳ 明朝" w:eastAsia="ＭＳ 明朝" w:hAnsi="ＭＳ 明朝"/>
          <w:b/>
          <w:bCs/>
          <w:szCs w:val="21"/>
          <w:lang w:eastAsia="ja-JP"/>
        </w:rPr>
      </w:pPr>
    </w:p>
    <w:p w14:paraId="11BCFBAA" w14:textId="77777777" w:rsidR="000B3A92" w:rsidRDefault="000B3A92" w:rsidP="000B3A92">
      <w:pPr>
        <w:rPr>
          <w:rFonts w:ascii="ＭＳ 明朝" w:eastAsia="ＭＳ 明朝" w:hAnsi="ＭＳ 明朝"/>
          <w:b/>
          <w:bCs/>
          <w:szCs w:val="21"/>
          <w:lang w:eastAsia="ja-JP"/>
        </w:rPr>
      </w:pPr>
    </w:p>
    <w:p w14:paraId="1A0F7496" w14:textId="77777777" w:rsidR="000B3A92" w:rsidRDefault="000B3A92" w:rsidP="000B3A92">
      <w:pPr>
        <w:jc w:val="center"/>
        <w:rPr>
          <w:rFonts w:ascii="ＭＳ 明朝" w:eastAsia="ＭＳ 明朝" w:hAnsi="ＭＳ 明朝"/>
          <w:lang w:eastAsia="ja-JP"/>
        </w:rPr>
      </w:pPr>
      <w:r>
        <w:rPr>
          <w:rFonts w:ascii="ＭＳ 明朝" w:eastAsia="ＭＳ 明朝" w:hAnsi="ＭＳ 明朝"/>
          <w:szCs w:val="21"/>
          <w:lang w:eastAsia="ja-JP"/>
        </w:rPr>
        <w:t>図1：ランダム性が低い形（左）とランダム性が高い形（右）</w:t>
      </w:r>
    </w:p>
    <w:p w14:paraId="5DF87170" w14:textId="77777777" w:rsidR="000B3A92" w:rsidRDefault="000B3A92" w:rsidP="000B3A92">
      <w:pPr>
        <w:jc w:val="center"/>
        <w:rPr>
          <w:rFonts w:ascii="ＭＳ 明朝" w:eastAsia="ＭＳ 明朝" w:hAnsi="ＭＳ 明朝"/>
          <w:szCs w:val="21"/>
          <w:lang w:eastAsia="ja-JP"/>
        </w:rPr>
      </w:pPr>
    </w:p>
    <w:p w14:paraId="1F24B273" w14:textId="77777777" w:rsidR="000B3A92" w:rsidRDefault="000B3A92" w:rsidP="000B3A92">
      <w:pPr>
        <w:jc w:val="center"/>
        <w:rPr>
          <w:rFonts w:ascii="ＭＳ 明朝" w:eastAsia="ＭＳ 明朝" w:hAnsi="ＭＳ 明朝"/>
          <w:szCs w:val="21"/>
          <w:lang w:eastAsia="ja-JP"/>
        </w:rPr>
      </w:pPr>
    </w:p>
    <w:p w14:paraId="5DDEBAAB"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図1の左側の画像を記憶しようとするとき、人々は実に記憶していることはその形自体</w:t>
      </w:r>
      <w:r>
        <w:rPr>
          <w:rFonts w:ascii="ＭＳ 明朝" w:eastAsia="ＭＳ 明朝" w:hAnsi="ＭＳ 明朝"/>
          <w:szCs w:val="21"/>
          <w:lang w:eastAsia="ja-JP"/>
        </w:rPr>
        <w:lastRenderedPageBreak/>
        <w:t>ではなく、「三角形の中に丸、丸の中に四角」という情報である。つまり、その形を小さなパターンに省略し、その略を記憶するというプロセスである。このように扱える形にはパターンがあると断言できる。そして記憶する際は省略を連想して覚えることはできる。つまり、パターンのある形には連想記憶が対象できる。</w:t>
      </w:r>
    </w:p>
    <w:p w14:paraId="44AC2A9B"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一方、右側の画像を記憶しようとするとき、上述の方法を利用できなくなる。それは認識できる形やパターンに省略できないからである。このようの形にはパターンが存在しない。つまり、ランダムな形である。この場合は形を全体として記憶する以外の方法はない。いわゆる丸暗記を利用するほかはない。</w:t>
      </w:r>
    </w:p>
    <w:p w14:paraId="2EC7BC4E"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これで以下の二つの点は明確である：</w:t>
      </w:r>
    </w:p>
    <w:p w14:paraId="0A522275"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①物事を記憶する際はランダム性が高いほど、論理的に扱いにくくなり、丸暗記以外のすべがなくなる。</w:t>
      </w:r>
    </w:p>
    <w:p w14:paraId="0C00947C"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②言語の文字はパターンのない、ランダムな形と見なされているため、連想記憶より視覚記憶の方が利用される傾向がある。</w:t>
      </w:r>
    </w:p>
    <w:p w14:paraId="0D4D1272"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w:t>
      </w:r>
    </w:p>
    <w:p w14:paraId="60C95822" w14:textId="77777777" w:rsidR="000B3A92" w:rsidRPr="008C6DFD" w:rsidRDefault="000B3A92" w:rsidP="000B3A92">
      <w:pPr>
        <w:rPr>
          <w:rFonts w:ascii="ＭＳ 明朝" w:eastAsia="ＭＳ 明朝" w:hAnsi="ＭＳ 明朝"/>
          <w:bCs/>
          <w:lang w:eastAsia="ja-JP"/>
        </w:rPr>
      </w:pPr>
      <w:r w:rsidRPr="008C6DFD">
        <w:rPr>
          <w:rFonts w:ascii="ＭＳ 明朝" w:eastAsia="ＭＳ 明朝" w:hAnsi="ＭＳ 明朝"/>
          <w:bCs/>
          <w:szCs w:val="21"/>
          <w:lang w:eastAsia="ja-JP"/>
        </w:rPr>
        <w:t>３．連想記憶を用いた漢字学習</w:t>
      </w:r>
    </w:p>
    <w:p w14:paraId="6975EA3C"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漢字はランダムな部首を使って組み立てられた形のように考えられる。それは部首が漢字の意味に無関係であることが多いからである。例を挙げると「親」の漢字は「立つ」と「木」と「見る」の意味には関係のない意味を表す。論理的な関係やパターンがないから省略して記憶できない。従って視覚記憶を用いて学習する傾向がある。学習者の思考の流れは以下のように示される：</w:t>
      </w:r>
    </w:p>
    <w:p w14:paraId="6BA7E83F" w14:textId="77777777" w:rsidR="000B3A92" w:rsidRDefault="000B3A92" w:rsidP="000B3A92">
      <w:pPr>
        <w:rPr>
          <w:rFonts w:ascii="ＭＳ 明朝" w:eastAsia="ＭＳ 明朝" w:hAnsi="ＭＳ 明朝"/>
          <w:szCs w:val="21"/>
          <w:lang w:eastAsia="ja-JP"/>
        </w:rPr>
      </w:pPr>
    </w:p>
    <w:p w14:paraId="23859AAC" w14:textId="77777777" w:rsidR="000B3A92" w:rsidRDefault="000B3A92" w:rsidP="000B3A92">
      <w:pPr>
        <w:jc w:val="center"/>
        <w:rPr>
          <w:rFonts w:ascii="ＭＳ 明朝" w:eastAsia="ＭＳ 明朝" w:hAnsi="ＭＳ 明朝"/>
          <w:lang w:eastAsia="ja-JP"/>
        </w:rPr>
      </w:pPr>
      <w:r>
        <w:rPr>
          <w:rFonts w:ascii="ＭＳ 明朝" w:eastAsia="ＭＳ 明朝" w:hAnsi="ＭＳ 明朝"/>
          <w:szCs w:val="21"/>
          <w:lang w:eastAsia="ja-JP"/>
        </w:rPr>
        <w:t>①漢字はランダムな部首を使って組み立てられた形</w:t>
      </w:r>
    </w:p>
    <w:p w14:paraId="578B6D9C" w14:textId="77777777" w:rsidR="000B3A92" w:rsidRDefault="000B3A92" w:rsidP="000B3A92">
      <w:pPr>
        <w:jc w:val="center"/>
        <w:rPr>
          <w:rFonts w:ascii="ＭＳ 明朝" w:eastAsia="ＭＳ 明朝" w:hAnsi="ＭＳ 明朝"/>
          <w:szCs w:val="21"/>
          <w:lang w:eastAsia="ja-JP"/>
        </w:rPr>
      </w:pPr>
    </w:p>
    <w:p w14:paraId="1AF8CB32" w14:textId="77777777" w:rsidR="000B3A92" w:rsidRDefault="000B3A92" w:rsidP="000B3A92">
      <w:pPr>
        <w:jc w:val="center"/>
        <w:rPr>
          <w:rFonts w:ascii="ＭＳ 明朝" w:eastAsia="ＭＳ 明朝" w:hAnsi="ＭＳ 明朝"/>
          <w:lang w:eastAsia="ja-JP"/>
        </w:rPr>
      </w:pPr>
      <w:r>
        <w:rPr>
          <w:rFonts w:ascii="ＭＳ 明朝" w:eastAsia="ＭＳ 明朝" w:hAnsi="ＭＳ 明朝"/>
          <w:szCs w:val="21"/>
          <w:lang w:eastAsia="ja-JP"/>
        </w:rPr>
        <w:t>②そのランダムな部首の組み立てを論理的に扱うことはできない。</w:t>
      </w:r>
    </w:p>
    <w:p w14:paraId="5598089E" w14:textId="77777777" w:rsidR="000B3A92" w:rsidRDefault="000B3A92" w:rsidP="000B3A92">
      <w:pPr>
        <w:jc w:val="center"/>
        <w:rPr>
          <w:rFonts w:ascii="ＭＳ 明朝" w:eastAsia="ＭＳ 明朝" w:hAnsi="ＭＳ 明朝"/>
          <w:szCs w:val="21"/>
          <w:lang w:eastAsia="ja-JP"/>
        </w:rPr>
      </w:pPr>
    </w:p>
    <w:p w14:paraId="448F6BDE" w14:textId="77777777" w:rsidR="000B3A92" w:rsidRDefault="000B3A92" w:rsidP="000B3A92">
      <w:pPr>
        <w:jc w:val="center"/>
        <w:rPr>
          <w:rFonts w:ascii="ＭＳ 明朝" w:eastAsia="ＭＳ 明朝" w:hAnsi="ＭＳ 明朝"/>
          <w:lang w:eastAsia="ja-JP"/>
        </w:rPr>
      </w:pPr>
      <w:r>
        <w:rPr>
          <w:rFonts w:ascii="ＭＳ 明朝" w:eastAsia="ＭＳ 明朝" w:hAnsi="ＭＳ 明朝"/>
          <w:szCs w:val="21"/>
          <w:lang w:eastAsia="ja-JP"/>
        </w:rPr>
        <w:t xml:space="preserve">③従って、考えすぎず、無理やり記憶するしかない。　</w:t>
      </w:r>
    </w:p>
    <w:p w14:paraId="4D29EEA7" w14:textId="77777777" w:rsidR="000B3A92" w:rsidRDefault="000B3A92" w:rsidP="000B3A92">
      <w:pPr>
        <w:jc w:val="center"/>
        <w:rPr>
          <w:rFonts w:ascii="ＭＳ 明朝" w:eastAsia="ＭＳ 明朝" w:hAnsi="ＭＳ 明朝"/>
          <w:szCs w:val="21"/>
          <w:lang w:eastAsia="ja-JP"/>
        </w:rPr>
      </w:pPr>
    </w:p>
    <w:p w14:paraId="32BEF6AB" w14:textId="59E5D782"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しかし、ジャームス・ウォーレス・ハイジックによる漢字学習の本では、彼がこの思考の流れを避けようとしている。主に②のポイントを論争し、漢字とその部首に論理的な関係を作ることが可能だと主張している。漢字とその漢字を組み立てる部首を取り入れるストーリーを作れば漢字と部首に関係が作られる。そうすると漢字はもうランダムな形でなく、パターンのある形として処理し、連想記憶を利用することはが可能になる。　</w:t>
      </w:r>
    </w:p>
    <w:p w14:paraId="6309CEE4" w14:textId="77777777" w:rsidR="000B3A92" w:rsidRDefault="000B3A92" w:rsidP="000B3A92">
      <w:pPr>
        <w:jc w:val="center"/>
        <w:rPr>
          <w:rFonts w:ascii="ＭＳ 明朝" w:eastAsia="ＭＳ 明朝" w:hAnsi="ＭＳ 明朝"/>
          <w:szCs w:val="21"/>
          <w:lang w:eastAsia="ja-JP"/>
        </w:rPr>
      </w:pPr>
      <w:r>
        <w:rPr>
          <w:rFonts w:ascii="ＭＳ 明朝" w:eastAsia="ＭＳ 明朝" w:hAnsi="ＭＳ 明朝"/>
          <w:noProof/>
          <w:szCs w:val="21"/>
          <w:lang w:eastAsia="ja-JP"/>
        </w:rPr>
        <w:drawing>
          <wp:anchor distT="0" distB="0" distL="0" distR="0" simplePos="0" relativeHeight="251662336" behindDoc="0" locked="0" layoutInCell="1" allowOverlap="1" wp14:anchorId="78D89097" wp14:editId="141D0D84">
            <wp:simplePos x="0" y="0"/>
            <wp:positionH relativeFrom="column">
              <wp:align>center</wp:align>
            </wp:positionH>
            <wp:positionV relativeFrom="paragraph">
              <wp:posOffset>25400</wp:posOffset>
            </wp:positionV>
            <wp:extent cx="1106170" cy="1675130"/>
            <wp:effectExtent l="0" t="0" r="0" b="1270"/>
            <wp:wrapSquare wrapText="largest"/>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20"/>
                    <a:stretch>
                      <a:fillRect/>
                    </a:stretch>
                  </pic:blipFill>
                  <pic:spPr bwMode="auto">
                    <a:xfrm>
                      <a:off x="0" y="0"/>
                      <a:ext cx="1107528" cy="1676550"/>
                    </a:xfrm>
                    <a:prstGeom prst="rect">
                      <a:avLst/>
                    </a:prstGeom>
                  </pic:spPr>
                </pic:pic>
              </a:graphicData>
            </a:graphic>
            <wp14:sizeRelH relativeFrom="margin">
              <wp14:pctWidth>0</wp14:pctWidth>
            </wp14:sizeRelH>
            <wp14:sizeRelV relativeFrom="margin">
              <wp14:pctHeight>0</wp14:pctHeight>
            </wp14:sizeRelV>
          </wp:anchor>
        </w:drawing>
      </w:r>
    </w:p>
    <w:p w14:paraId="0A52F9B1" w14:textId="77777777" w:rsidR="000B3A92" w:rsidRDefault="000B3A92" w:rsidP="000B3A92">
      <w:pPr>
        <w:jc w:val="center"/>
        <w:rPr>
          <w:rFonts w:ascii="ＭＳ 明朝" w:eastAsia="ＭＳ 明朝" w:hAnsi="ＭＳ 明朝"/>
          <w:szCs w:val="21"/>
          <w:lang w:eastAsia="ja-JP"/>
        </w:rPr>
      </w:pPr>
    </w:p>
    <w:p w14:paraId="2C41AE41" w14:textId="77777777" w:rsidR="000B3A92" w:rsidRDefault="000B3A92" w:rsidP="000B3A92">
      <w:pPr>
        <w:jc w:val="center"/>
        <w:rPr>
          <w:rFonts w:ascii="ＭＳ 明朝" w:eastAsia="ＭＳ 明朝" w:hAnsi="ＭＳ 明朝"/>
          <w:szCs w:val="21"/>
          <w:lang w:eastAsia="ja-JP"/>
        </w:rPr>
      </w:pPr>
    </w:p>
    <w:p w14:paraId="6EC6BADE" w14:textId="77777777" w:rsidR="000B3A92" w:rsidRDefault="000B3A92" w:rsidP="000B3A92">
      <w:pPr>
        <w:jc w:val="center"/>
        <w:rPr>
          <w:rFonts w:ascii="ＭＳ 明朝" w:eastAsia="ＭＳ 明朝" w:hAnsi="ＭＳ 明朝"/>
          <w:szCs w:val="21"/>
          <w:lang w:eastAsia="ja-JP"/>
        </w:rPr>
      </w:pPr>
    </w:p>
    <w:p w14:paraId="58FBCCE2" w14:textId="77777777" w:rsidR="000B3A92" w:rsidRDefault="000B3A92" w:rsidP="000B3A92">
      <w:pPr>
        <w:jc w:val="center"/>
        <w:rPr>
          <w:rFonts w:ascii="ＭＳ 明朝" w:eastAsia="ＭＳ 明朝" w:hAnsi="ＭＳ 明朝"/>
          <w:szCs w:val="21"/>
          <w:lang w:eastAsia="ja-JP"/>
        </w:rPr>
      </w:pPr>
    </w:p>
    <w:p w14:paraId="4EEFEC11" w14:textId="77777777" w:rsidR="000B3A92" w:rsidRDefault="000B3A92" w:rsidP="000B3A92">
      <w:pPr>
        <w:jc w:val="center"/>
        <w:rPr>
          <w:rFonts w:ascii="ＭＳ 明朝" w:eastAsia="ＭＳ 明朝" w:hAnsi="ＭＳ 明朝"/>
          <w:szCs w:val="21"/>
          <w:lang w:eastAsia="ja-JP"/>
        </w:rPr>
      </w:pPr>
    </w:p>
    <w:p w14:paraId="65402C94" w14:textId="77777777" w:rsidR="000B3A92" w:rsidRDefault="000B3A92" w:rsidP="000B3A92">
      <w:pPr>
        <w:jc w:val="center"/>
        <w:rPr>
          <w:rFonts w:ascii="ＭＳ 明朝" w:eastAsia="ＭＳ 明朝" w:hAnsi="ＭＳ 明朝"/>
          <w:szCs w:val="21"/>
          <w:lang w:eastAsia="ja-JP"/>
        </w:rPr>
      </w:pPr>
    </w:p>
    <w:p w14:paraId="69FB12E3" w14:textId="77777777" w:rsidR="000B3A92" w:rsidRDefault="000B3A92" w:rsidP="000B3A92">
      <w:pPr>
        <w:jc w:val="center"/>
        <w:rPr>
          <w:rFonts w:ascii="ＭＳ 明朝" w:eastAsia="ＭＳ 明朝" w:hAnsi="ＭＳ 明朝"/>
          <w:szCs w:val="21"/>
          <w:lang w:eastAsia="ja-JP"/>
        </w:rPr>
      </w:pPr>
    </w:p>
    <w:p w14:paraId="60108899" w14:textId="77777777" w:rsidR="000B3A92" w:rsidRDefault="000B3A92" w:rsidP="000B3A92">
      <w:pPr>
        <w:jc w:val="center"/>
        <w:rPr>
          <w:rFonts w:ascii="ＭＳ 明朝" w:eastAsia="ＭＳ 明朝" w:hAnsi="ＭＳ 明朝"/>
          <w:szCs w:val="21"/>
          <w:lang w:eastAsia="ja-JP"/>
        </w:rPr>
      </w:pPr>
    </w:p>
    <w:p w14:paraId="513B706A" w14:textId="77777777" w:rsidR="000B3A92" w:rsidRDefault="000B3A92" w:rsidP="000B3A92">
      <w:pPr>
        <w:jc w:val="center"/>
        <w:rPr>
          <w:rFonts w:ascii="ＭＳ 明朝" w:eastAsia="ＭＳ 明朝" w:hAnsi="ＭＳ 明朝"/>
          <w:lang w:eastAsia="ja-JP"/>
        </w:rPr>
      </w:pPr>
      <w:r>
        <w:rPr>
          <w:rFonts w:ascii="ＭＳ 明朝" w:eastAsia="ＭＳ 明朝" w:hAnsi="ＭＳ 明朝"/>
          <w:szCs w:val="21"/>
          <w:lang w:eastAsia="ja-JP"/>
        </w:rPr>
        <w:t>図2：ハイジックによる漢字学習の本（英語版）</w:t>
      </w:r>
    </w:p>
    <w:p w14:paraId="4FDCEFA9" w14:textId="77777777" w:rsidR="000B3A92" w:rsidRDefault="000B3A92" w:rsidP="000B3A92">
      <w:pPr>
        <w:rPr>
          <w:rFonts w:ascii="ＭＳ 明朝" w:eastAsia="ＭＳ 明朝" w:hAnsi="ＭＳ 明朝"/>
          <w:lang w:eastAsia="ja-JP"/>
        </w:rPr>
      </w:pPr>
      <w:r>
        <w:rPr>
          <w:rFonts w:ascii="ＭＳ 明朝" w:eastAsia="ＭＳ 明朝" w:hAnsi="ＭＳ 明朝"/>
          <w:szCs w:val="21"/>
          <w:lang w:eastAsia="ja-JP"/>
        </w:rPr>
        <w:t xml:space="preserve">　以下に「鬱」の例を使ってこの連想記憶を用いる学習法はどのように実用されているか示されている。</w:t>
      </w:r>
    </w:p>
    <w:p w14:paraId="46F9B389" w14:textId="77777777" w:rsidR="000B3A92" w:rsidRDefault="000B3A92" w:rsidP="000B3A92">
      <w:pPr>
        <w:pStyle w:val="af"/>
        <w:rPr>
          <w:rFonts w:ascii="ＭＳ 明朝" w:eastAsia="ＭＳ 明朝" w:hAnsi="ＭＳ 明朝"/>
          <w:lang w:eastAsia="ja-JP"/>
        </w:rPr>
      </w:pPr>
      <w:r>
        <w:rPr>
          <w:rFonts w:ascii="ＭＳ 明朝" w:eastAsia="ＭＳ 明朝" w:hAnsi="ＭＳ 明朝"/>
          <w:sz w:val="21"/>
          <w:szCs w:val="21"/>
          <w:lang w:eastAsia="ja-JP"/>
        </w:rPr>
        <w:lastRenderedPageBreak/>
        <w:t xml:space="preserve">　「鬱」に現れる部首がそれぞれ意味が与えられているが、どの部首にどの意味が与えたいかという点は学習者の自由である。そこで「鬱」の学習のために各部首に以下のように意味を与え、その意味を選んだ理由を説明する。</w:t>
      </w:r>
    </w:p>
    <w:p w14:paraId="7469605D" w14:textId="77777777" w:rsidR="000B3A92" w:rsidRDefault="000B3A92" w:rsidP="00281BFD">
      <w:pPr>
        <w:pStyle w:val="af"/>
        <w:numPr>
          <w:ilvl w:val="0"/>
          <w:numId w:val="8"/>
        </w:numPr>
        <w:spacing w:line="240" w:lineRule="auto"/>
        <w:rPr>
          <w:sz w:val="21"/>
          <w:szCs w:val="21"/>
        </w:rPr>
      </w:pPr>
      <w:r>
        <w:rPr>
          <w:rFonts w:ascii="ＭＳ 明朝" w:eastAsia="ＭＳ 明朝" w:hAnsi="ＭＳ 明朝"/>
          <w:sz w:val="21"/>
          <w:szCs w:val="21"/>
          <w:lang w:eastAsia="ja-JP"/>
        </w:rPr>
        <w:t>林：はやしと同じ意味</w:t>
      </w:r>
    </w:p>
    <w:p w14:paraId="09A2C893" w14:textId="77777777" w:rsidR="000B3A92" w:rsidRDefault="000B3A92" w:rsidP="00281BFD">
      <w:pPr>
        <w:pStyle w:val="af"/>
        <w:numPr>
          <w:ilvl w:val="0"/>
          <w:numId w:val="8"/>
        </w:numPr>
        <w:spacing w:line="240" w:lineRule="auto"/>
        <w:rPr>
          <w:sz w:val="21"/>
          <w:szCs w:val="21"/>
        </w:rPr>
      </w:pPr>
      <w:r>
        <w:rPr>
          <w:rFonts w:ascii="ＭＳ 明朝" w:eastAsia="ＭＳ 明朝" w:hAnsi="ＭＳ 明朝"/>
          <w:sz w:val="21"/>
          <w:szCs w:val="21"/>
          <w:lang w:eastAsia="ja-JP"/>
        </w:rPr>
        <w:t>缶：缶（カン）と同じ意味</w:t>
      </w:r>
    </w:p>
    <w:p w14:paraId="44F55B63" w14:textId="77777777" w:rsidR="000B3A92" w:rsidRDefault="000B3A92" w:rsidP="00281BFD">
      <w:pPr>
        <w:pStyle w:val="af"/>
        <w:numPr>
          <w:ilvl w:val="0"/>
          <w:numId w:val="8"/>
        </w:numPr>
        <w:spacing w:line="240" w:lineRule="auto"/>
        <w:rPr>
          <w:sz w:val="21"/>
          <w:szCs w:val="21"/>
        </w:rPr>
      </w:pPr>
      <w:r>
        <w:rPr>
          <w:rFonts w:ascii="ＭＳ 明朝" w:eastAsia="ＭＳ 明朝" w:hAnsi="ＭＳ 明朝"/>
          <w:color w:val="222222"/>
          <w:sz w:val="21"/>
          <w:szCs w:val="21"/>
          <w:lang w:eastAsia="ja-JP"/>
        </w:rPr>
        <w:t>冖：冠と同じ意味</w:t>
      </w:r>
    </w:p>
    <w:p w14:paraId="13BFB059" w14:textId="77777777" w:rsidR="000B3A92" w:rsidRDefault="000B3A92" w:rsidP="00281BFD">
      <w:pPr>
        <w:pStyle w:val="af"/>
        <w:numPr>
          <w:ilvl w:val="0"/>
          <w:numId w:val="8"/>
        </w:numPr>
        <w:spacing w:line="240" w:lineRule="auto"/>
        <w:rPr>
          <w:sz w:val="21"/>
          <w:szCs w:val="21"/>
        </w:rPr>
      </w:pPr>
      <w:r>
        <w:rPr>
          <w:rFonts w:ascii="ＭＳ 明朝" w:eastAsia="ＭＳ 明朝" w:hAnsi="ＭＳ 明朝"/>
          <w:color w:val="222222"/>
          <w:sz w:val="21"/>
          <w:szCs w:val="21"/>
          <w:lang w:eastAsia="ja-JP"/>
        </w:rPr>
        <w:t>凵：空っぽな箱の形に見えるから「空っぽな箱」の意味</w:t>
      </w:r>
    </w:p>
    <w:p w14:paraId="3BDCEF78" w14:textId="77777777" w:rsidR="000B3A92" w:rsidRDefault="000B3A92" w:rsidP="00281BFD">
      <w:pPr>
        <w:pStyle w:val="af"/>
        <w:numPr>
          <w:ilvl w:val="0"/>
          <w:numId w:val="8"/>
        </w:numPr>
        <w:spacing w:line="240" w:lineRule="auto"/>
        <w:rPr>
          <w:rFonts w:ascii="ＭＳ 明朝" w:eastAsia="ＭＳ 明朝" w:hAnsi="ＭＳ 明朝"/>
          <w:lang w:eastAsia="ja-JP"/>
        </w:rPr>
      </w:pPr>
      <w:r>
        <w:rPr>
          <w:rFonts w:ascii="ＭＳ 明朝" w:eastAsia="ＭＳ 明朝" w:hAnsi="ＭＳ 明朝"/>
          <w:sz w:val="21"/>
          <w:szCs w:val="21"/>
          <w:lang w:eastAsia="ja-JP"/>
        </w:rPr>
        <w:t>メ：るろうに剣心というアニメキャラクターの頬にある傷の形に似ているから「るろうに剣心」の意味</w:t>
      </w:r>
    </w:p>
    <w:p w14:paraId="25DB9DB8" w14:textId="77777777" w:rsidR="000B3A92" w:rsidRDefault="000B3A92" w:rsidP="00281BFD">
      <w:pPr>
        <w:pStyle w:val="af"/>
        <w:numPr>
          <w:ilvl w:val="0"/>
          <w:numId w:val="8"/>
        </w:numPr>
        <w:spacing w:line="240" w:lineRule="auto"/>
        <w:rPr>
          <w:rFonts w:ascii="ＭＳ 明朝" w:eastAsia="ＭＳ 明朝" w:hAnsi="ＭＳ 明朝"/>
          <w:lang w:eastAsia="ja-JP"/>
        </w:rPr>
      </w:pPr>
      <w:r>
        <w:rPr>
          <w:rFonts w:ascii="ＭＳ 明朝" w:eastAsia="ＭＳ 明朝" w:hAnsi="ＭＳ 明朝"/>
          <w:color w:val="222222"/>
          <w:sz w:val="21"/>
          <w:szCs w:val="21"/>
          <w:lang w:eastAsia="ja-JP"/>
        </w:rPr>
        <w:t>丶：雫の形に似ている。そして漢字では四回も繰り返されているので雫が多いイメージ、つまり「汗」の意味</w:t>
      </w:r>
    </w:p>
    <w:p w14:paraId="753E6E7D" w14:textId="77777777" w:rsidR="000B3A92" w:rsidRDefault="000B3A92" w:rsidP="00281BFD">
      <w:pPr>
        <w:pStyle w:val="af"/>
        <w:numPr>
          <w:ilvl w:val="0"/>
          <w:numId w:val="8"/>
        </w:numPr>
        <w:spacing w:line="240" w:lineRule="auto"/>
        <w:rPr>
          <w:rFonts w:ascii="ＭＳ 明朝" w:eastAsia="ＭＳ 明朝" w:hAnsi="ＭＳ 明朝"/>
          <w:lang w:eastAsia="ja-JP"/>
        </w:rPr>
      </w:pPr>
      <w:r>
        <w:rPr>
          <w:rFonts w:ascii="ＭＳ 明朝" w:eastAsia="ＭＳ 明朝" w:hAnsi="ＭＳ 明朝"/>
          <w:color w:val="222222"/>
          <w:sz w:val="21"/>
          <w:szCs w:val="21"/>
          <w:lang w:eastAsia="ja-JP"/>
        </w:rPr>
        <w:t>ヒ：手を伸ばしながら地面に座っている人の人影に見えるから「地面に座る」の意味</w:t>
      </w:r>
    </w:p>
    <w:p w14:paraId="772198A9" w14:textId="77777777" w:rsidR="000B3A92" w:rsidRDefault="000B3A92" w:rsidP="00281BFD">
      <w:pPr>
        <w:pStyle w:val="af"/>
        <w:numPr>
          <w:ilvl w:val="0"/>
          <w:numId w:val="8"/>
        </w:numPr>
        <w:spacing w:line="240" w:lineRule="auto"/>
        <w:rPr>
          <w:rFonts w:ascii="ＭＳ 明朝" w:eastAsia="ＭＳ 明朝" w:hAnsi="ＭＳ 明朝"/>
          <w:lang w:eastAsia="ja-JP"/>
        </w:rPr>
      </w:pPr>
      <w:r>
        <w:rPr>
          <w:rFonts w:ascii="ＭＳ 明朝" w:eastAsia="ＭＳ 明朝" w:hAnsi="ＭＳ 明朝"/>
          <w:color w:val="222222"/>
          <w:sz w:val="21"/>
          <w:szCs w:val="21"/>
          <w:lang w:eastAsia="ja-JP"/>
        </w:rPr>
        <w:t>彡：形の漢字の右側の部首なので「形」の意味</w:t>
      </w:r>
    </w:p>
    <w:p w14:paraId="5EEA70C5" w14:textId="77777777" w:rsidR="000B3A92" w:rsidRDefault="000B3A92" w:rsidP="000B3A92">
      <w:pPr>
        <w:pStyle w:val="af"/>
        <w:rPr>
          <w:rFonts w:eastAsia="ＭＳ 明朝"/>
          <w:color w:val="222222"/>
          <w:sz w:val="21"/>
          <w:szCs w:val="21"/>
        </w:rPr>
      </w:pPr>
    </w:p>
    <w:p w14:paraId="62F52CA0" w14:textId="77777777" w:rsidR="000B3A92" w:rsidRDefault="000B3A92" w:rsidP="000B3A92">
      <w:pPr>
        <w:pStyle w:val="af"/>
        <w:rPr>
          <w:rFonts w:eastAsia="ＭＳ 明朝"/>
          <w:color w:val="222222"/>
          <w:sz w:val="21"/>
          <w:szCs w:val="21"/>
        </w:rPr>
      </w:pPr>
      <w:r>
        <w:rPr>
          <w:rFonts w:eastAsia="ＭＳ 明朝"/>
          <w:noProof/>
          <w:color w:val="222222"/>
          <w:sz w:val="21"/>
          <w:szCs w:val="21"/>
          <w:lang w:eastAsia="ja-JP" w:bidi="ar-SA"/>
        </w:rPr>
        <w:drawing>
          <wp:anchor distT="0" distB="0" distL="0" distR="0" simplePos="0" relativeHeight="251663360" behindDoc="0" locked="0" layoutInCell="1" allowOverlap="1" wp14:anchorId="73E0EDF9" wp14:editId="17164DDD">
            <wp:simplePos x="0" y="0"/>
            <wp:positionH relativeFrom="column">
              <wp:posOffset>3384550</wp:posOffset>
            </wp:positionH>
            <wp:positionV relativeFrom="paragraph">
              <wp:posOffset>-98425</wp:posOffset>
            </wp:positionV>
            <wp:extent cx="2755265" cy="2432050"/>
            <wp:effectExtent l="0" t="0" r="0" b="0"/>
            <wp:wrapSquare wrapText="largest"/>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21"/>
                    <a:stretch>
                      <a:fillRect/>
                    </a:stretch>
                  </pic:blipFill>
                  <pic:spPr bwMode="auto">
                    <a:xfrm>
                      <a:off x="0" y="0"/>
                      <a:ext cx="2755265" cy="2432050"/>
                    </a:xfrm>
                    <a:prstGeom prst="rect">
                      <a:avLst/>
                    </a:prstGeom>
                  </pic:spPr>
                </pic:pic>
              </a:graphicData>
            </a:graphic>
          </wp:anchor>
        </w:drawing>
      </w:r>
      <w:r>
        <w:rPr>
          <w:rFonts w:eastAsia="ＭＳ 明朝"/>
          <w:noProof/>
          <w:color w:val="222222"/>
          <w:sz w:val="21"/>
          <w:szCs w:val="21"/>
          <w:lang w:eastAsia="ja-JP" w:bidi="ar-SA"/>
        </w:rPr>
        <w:drawing>
          <wp:anchor distT="0" distB="0" distL="0" distR="0" simplePos="0" relativeHeight="251664384" behindDoc="0" locked="0" layoutInCell="1" allowOverlap="1" wp14:anchorId="4DB5DA0C" wp14:editId="547AD221">
            <wp:simplePos x="0" y="0"/>
            <wp:positionH relativeFrom="column">
              <wp:posOffset>410845</wp:posOffset>
            </wp:positionH>
            <wp:positionV relativeFrom="paragraph">
              <wp:posOffset>-92710</wp:posOffset>
            </wp:positionV>
            <wp:extent cx="2597785" cy="2444115"/>
            <wp:effectExtent l="0" t="0" r="0" b="0"/>
            <wp:wrapSquare wrapText="largest"/>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22"/>
                    <a:stretch>
                      <a:fillRect/>
                    </a:stretch>
                  </pic:blipFill>
                  <pic:spPr bwMode="auto">
                    <a:xfrm>
                      <a:off x="0" y="0"/>
                      <a:ext cx="2597785" cy="2444115"/>
                    </a:xfrm>
                    <a:prstGeom prst="rect">
                      <a:avLst/>
                    </a:prstGeom>
                  </pic:spPr>
                </pic:pic>
              </a:graphicData>
            </a:graphic>
          </wp:anchor>
        </w:drawing>
      </w:r>
    </w:p>
    <w:p w14:paraId="72BDE803" w14:textId="77777777" w:rsidR="000B3A92" w:rsidRDefault="000B3A92" w:rsidP="000B3A92">
      <w:pPr>
        <w:pStyle w:val="af"/>
        <w:rPr>
          <w:rFonts w:eastAsia="ＭＳ 明朝"/>
          <w:color w:val="222222"/>
          <w:sz w:val="21"/>
          <w:szCs w:val="21"/>
        </w:rPr>
      </w:pPr>
    </w:p>
    <w:p w14:paraId="7A7ABEE3" w14:textId="77777777" w:rsidR="000B3A92" w:rsidRDefault="000B3A92" w:rsidP="000B3A92">
      <w:pPr>
        <w:pStyle w:val="af"/>
        <w:rPr>
          <w:rFonts w:eastAsia="ＭＳ 明朝"/>
          <w:color w:val="222222"/>
          <w:sz w:val="21"/>
          <w:szCs w:val="21"/>
        </w:rPr>
      </w:pPr>
    </w:p>
    <w:p w14:paraId="51F9F7C9" w14:textId="77777777" w:rsidR="000B3A92" w:rsidRDefault="000B3A92" w:rsidP="000B3A92">
      <w:pPr>
        <w:pStyle w:val="af"/>
        <w:rPr>
          <w:rFonts w:eastAsia="ＭＳ 明朝"/>
          <w:color w:val="222222"/>
          <w:sz w:val="21"/>
          <w:szCs w:val="21"/>
        </w:rPr>
      </w:pPr>
    </w:p>
    <w:p w14:paraId="7DA3B474" w14:textId="77777777" w:rsidR="000B3A92" w:rsidRDefault="000B3A92" w:rsidP="000B3A92">
      <w:pPr>
        <w:pStyle w:val="af"/>
        <w:rPr>
          <w:rFonts w:eastAsia="ＭＳ 明朝"/>
          <w:color w:val="222222"/>
          <w:sz w:val="21"/>
          <w:szCs w:val="21"/>
        </w:rPr>
      </w:pPr>
    </w:p>
    <w:p w14:paraId="0C4ECF90" w14:textId="77777777" w:rsidR="000B3A92" w:rsidRDefault="000B3A92" w:rsidP="000B3A92">
      <w:pPr>
        <w:pStyle w:val="af"/>
        <w:rPr>
          <w:rFonts w:eastAsia="ＭＳ 明朝"/>
          <w:color w:val="222222"/>
          <w:sz w:val="21"/>
          <w:szCs w:val="21"/>
        </w:rPr>
      </w:pPr>
    </w:p>
    <w:p w14:paraId="467D7FBC" w14:textId="77777777" w:rsidR="000B3A92" w:rsidRDefault="000B3A92" w:rsidP="000B3A92">
      <w:pPr>
        <w:pStyle w:val="af"/>
        <w:rPr>
          <w:rFonts w:eastAsia="ＭＳ 明朝"/>
          <w:color w:val="222222"/>
          <w:sz w:val="21"/>
          <w:szCs w:val="21"/>
        </w:rPr>
      </w:pPr>
    </w:p>
    <w:p w14:paraId="4EDE6442" w14:textId="77777777" w:rsidR="000B3A92" w:rsidRDefault="000B3A92" w:rsidP="000B3A92">
      <w:pPr>
        <w:pStyle w:val="af"/>
        <w:rPr>
          <w:rFonts w:eastAsia="ＭＳ 明朝"/>
          <w:color w:val="222222"/>
          <w:sz w:val="21"/>
          <w:szCs w:val="21"/>
        </w:rPr>
      </w:pPr>
    </w:p>
    <w:p w14:paraId="44B91EEE" w14:textId="77777777" w:rsidR="000B3A92" w:rsidRDefault="000B3A92" w:rsidP="000B3A92">
      <w:pPr>
        <w:pStyle w:val="af"/>
        <w:jc w:val="center"/>
        <w:rPr>
          <w:rFonts w:ascii="ＭＳ 明朝" w:eastAsia="ＭＳ 明朝" w:hAnsi="ＭＳ 明朝"/>
          <w:color w:val="222222"/>
          <w:sz w:val="21"/>
          <w:szCs w:val="21"/>
          <w:lang w:eastAsia="ja-JP"/>
        </w:rPr>
      </w:pPr>
      <w:r>
        <w:rPr>
          <w:rFonts w:ascii="ＭＳ 明朝" w:eastAsia="ＭＳ 明朝" w:hAnsi="ＭＳ 明朝"/>
          <w:color w:val="222222"/>
          <w:sz w:val="21"/>
          <w:szCs w:val="21"/>
          <w:lang w:eastAsia="ja-JP"/>
        </w:rPr>
        <w:t>図3：鬱の漢字を組み立てる部首とその意味を表すイメージ</w:t>
      </w:r>
    </w:p>
    <w:p w14:paraId="71980920" w14:textId="77777777" w:rsidR="00281BFD" w:rsidRDefault="00281BFD" w:rsidP="000B3A92">
      <w:pPr>
        <w:pStyle w:val="af"/>
        <w:jc w:val="center"/>
        <w:rPr>
          <w:sz w:val="21"/>
          <w:szCs w:val="21"/>
        </w:rPr>
      </w:pPr>
    </w:p>
    <w:p w14:paraId="2F5C39D7" w14:textId="77777777" w:rsidR="000B3A92" w:rsidRDefault="000B3A92" w:rsidP="000B3A92">
      <w:pPr>
        <w:pStyle w:val="af"/>
        <w:spacing w:after="0"/>
        <w:ind w:firstLine="210"/>
        <w:rPr>
          <w:rFonts w:ascii="ＭＳ 明朝" w:eastAsia="ＭＳ 明朝" w:hAnsi="ＭＳ 明朝"/>
          <w:color w:val="222222"/>
          <w:sz w:val="21"/>
          <w:szCs w:val="21"/>
          <w:lang w:eastAsia="ja-JP"/>
        </w:rPr>
      </w:pPr>
      <w:r>
        <w:rPr>
          <w:rFonts w:ascii="ＭＳ 明朝" w:eastAsia="ＭＳ 明朝" w:hAnsi="ＭＳ 明朝"/>
          <w:color w:val="222222"/>
          <w:sz w:val="21"/>
          <w:szCs w:val="21"/>
          <w:lang w:eastAsia="ja-JP"/>
        </w:rPr>
        <w:t>以上に述べている言葉と「鬱」を使うストーリーを考え出す。以下に書いてあるようなストーリーが可能になる。</w:t>
      </w:r>
    </w:p>
    <w:p w14:paraId="0023B02C" w14:textId="77777777" w:rsidR="000B3A92" w:rsidRDefault="000B3A92" w:rsidP="000B3A92">
      <w:pPr>
        <w:pStyle w:val="af"/>
        <w:spacing w:after="0"/>
        <w:ind w:firstLine="210"/>
        <w:rPr>
          <w:rFonts w:ascii="ＭＳ 明朝" w:eastAsia="ＭＳ 明朝" w:hAnsi="ＭＳ 明朝"/>
          <w:sz w:val="21"/>
          <w:lang w:eastAsia="ja-JP"/>
        </w:rPr>
      </w:pPr>
    </w:p>
    <w:p w14:paraId="742A2AE6" w14:textId="77777777" w:rsidR="000B3A92" w:rsidRDefault="000B3A92" w:rsidP="000B3A92">
      <w:pPr>
        <w:pStyle w:val="af"/>
        <w:spacing w:after="0"/>
        <w:ind w:firstLine="210"/>
        <w:rPr>
          <w:rFonts w:ascii="ＭＳ 明朝" w:eastAsia="ＭＳ 明朝" w:hAnsi="ＭＳ 明朝"/>
          <w:color w:val="222222"/>
          <w:sz w:val="21"/>
          <w:szCs w:val="21"/>
          <w:lang w:eastAsia="ja-JP"/>
        </w:rPr>
      </w:pPr>
      <w:r>
        <w:rPr>
          <w:rFonts w:ascii="ＭＳ 明朝" w:eastAsia="ＭＳ 明朝" w:hAnsi="ＭＳ 明朝" w:hint="eastAsia"/>
          <w:color w:val="222222"/>
          <w:sz w:val="21"/>
          <w:szCs w:val="21"/>
          <w:lang w:eastAsia="ja-JP"/>
        </w:rPr>
        <w:t>「</w:t>
      </w:r>
      <w:r>
        <w:rPr>
          <w:rFonts w:ascii="ＭＳ 明朝" w:eastAsia="ＭＳ 明朝" w:hAnsi="ＭＳ 明朝"/>
          <w:color w:val="222222"/>
          <w:sz w:val="21"/>
          <w:szCs w:val="21"/>
          <w:lang w:eastAsia="ja-JP"/>
        </w:rPr>
        <w:t>私は</w:t>
      </w:r>
      <w:r>
        <w:rPr>
          <w:rFonts w:ascii="ＭＳ 明朝" w:eastAsia="ＭＳ 明朝" w:hAnsi="ＭＳ 明朝"/>
          <w:color w:val="CE181E"/>
          <w:sz w:val="21"/>
          <w:szCs w:val="21"/>
          <w:u w:val="single"/>
          <w:lang w:eastAsia="ja-JP"/>
        </w:rPr>
        <w:t>林</w:t>
      </w:r>
      <w:r>
        <w:rPr>
          <w:rFonts w:ascii="ＭＳ 明朝" w:eastAsia="ＭＳ 明朝" w:hAnsi="ＭＳ 明朝"/>
          <w:color w:val="222222"/>
          <w:sz w:val="21"/>
          <w:szCs w:val="21"/>
          <w:lang w:eastAsia="ja-JP"/>
        </w:rPr>
        <w:t>の中を歩いていた。そこで地面に落ちていた</w:t>
      </w:r>
      <w:r>
        <w:rPr>
          <w:rFonts w:ascii="ＭＳ 明朝" w:eastAsia="ＭＳ 明朝" w:hAnsi="ＭＳ 明朝"/>
          <w:color w:val="CE181E"/>
          <w:sz w:val="21"/>
          <w:szCs w:val="21"/>
          <w:u w:val="single"/>
          <w:lang w:eastAsia="ja-JP"/>
        </w:rPr>
        <w:t>缶</w:t>
      </w:r>
      <w:r>
        <w:rPr>
          <w:rFonts w:ascii="ＭＳ 明朝" w:eastAsia="ＭＳ 明朝" w:hAnsi="ＭＳ 明朝"/>
          <w:color w:val="222222"/>
          <w:sz w:val="21"/>
          <w:szCs w:val="21"/>
          <w:lang w:eastAsia="ja-JP"/>
        </w:rPr>
        <w:t>に気が付いた。拾ってみると何と！その中に光り輝く</w:t>
      </w:r>
      <w:r>
        <w:rPr>
          <w:rFonts w:ascii="ＭＳ 明朝" w:eastAsia="ＭＳ 明朝" w:hAnsi="ＭＳ 明朝"/>
          <w:color w:val="CE181E"/>
          <w:sz w:val="21"/>
          <w:szCs w:val="21"/>
          <w:u w:val="single"/>
          <w:lang w:eastAsia="ja-JP"/>
        </w:rPr>
        <w:t>冠</w:t>
      </w:r>
      <w:r>
        <w:rPr>
          <w:rFonts w:ascii="ＭＳ 明朝" w:eastAsia="ＭＳ 明朝" w:hAnsi="ＭＳ 明朝"/>
          <w:color w:val="222222"/>
          <w:sz w:val="21"/>
          <w:szCs w:val="21"/>
          <w:lang w:eastAsia="ja-JP"/>
        </w:rPr>
        <w:t>が入っていた。興奮していたとき、後ろから誰かが声をかけてきた。そこに</w:t>
      </w:r>
      <w:r>
        <w:rPr>
          <w:rFonts w:ascii="ＭＳ 明朝" w:eastAsia="ＭＳ 明朝" w:hAnsi="ＭＳ 明朝"/>
          <w:color w:val="CE181E"/>
          <w:sz w:val="21"/>
          <w:szCs w:val="21"/>
          <w:u w:val="single"/>
          <w:lang w:eastAsia="ja-JP"/>
        </w:rPr>
        <w:t>るろうに剣心</w:t>
      </w:r>
      <w:r>
        <w:rPr>
          <w:rFonts w:ascii="ＭＳ 明朝" w:eastAsia="ＭＳ 明朝" w:hAnsi="ＭＳ 明朝"/>
          <w:color w:val="222222"/>
          <w:sz w:val="21"/>
          <w:szCs w:val="21"/>
          <w:lang w:eastAsia="ja-JP"/>
        </w:rPr>
        <w:t>が立っていた。</w:t>
      </w:r>
      <w:r>
        <w:rPr>
          <w:rFonts w:ascii="ＭＳ 明朝" w:eastAsia="ＭＳ 明朝" w:hAnsi="ＭＳ 明朝" w:hint="eastAsia"/>
          <w:color w:val="222222"/>
          <w:sz w:val="21"/>
          <w:szCs w:val="21"/>
          <w:lang w:eastAsia="ja-JP"/>
        </w:rPr>
        <w:t>『</w:t>
      </w:r>
      <w:r>
        <w:rPr>
          <w:rFonts w:ascii="ＭＳ 明朝" w:eastAsia="ＭＳ 明朝" w:hAnsi="ＭＳ 明朝"/>
          <w:color w:val="222222"/>
          <w:sz w:val="21"/>
          <w:szCs w:val="21"/>
          <w:lang w:eastAsia="ja-JP"/>
        </w:rPr>
        <w:t>おい！それは俺が見つけた冠だ！</w:t>
      </w:r>
      <w:r>
        <w:rPr>
          <w:rFonts w:ascii="ＭＳ 明朝" w:eastAsia="ＭＳ 明朝" w:hAnsi="ＭＳ 明朝" w:hint="eastAsia"/>
          <w:color w:val="222222"/>
          <w:sz w:val="21"/>
          <w:szCs w:val="21"/>
          <w:lang w:eastAsia="ja-JP"/>
        </w:rPr>
        <w:t>』</w:t>
      </w:r>
      <w:r>
        <w:rPr>
          <w:rFonts w:ascii="ＭＳ 明朝" w:eastAsia="ＭＳ 明朝" w:hAnsi="ＭＳ 明朝"/>
          <w:color w:val="222222"/>
          <w:sz w:val="21"/>
          <w:szCs w:val="21"/>
          <w:lang w:eastAsia="ja-JP"/>
        </w:rPr>
        <w:t>そして彼は手に持っていた</w:t>
      </w:r>
      <w:r>
        <w:rPr>
          <w:rFonts w:ascii="ＭＳ 明朝" w:eastAsia="ＭＳ 明朝" w:hAnsi="ＭＳ 明朝"/>
          <w:color w:val="CE181E"/>
          <w:sz w:val="21"/>
          <w:szCs w:val="21"/>
          <w:u w:val="single"/>
          <w:lang w:eastAsia="ja-JP"/>
        </w:rPr>
        <w:t>空っぽな箱</w:t>
      </w:r>
      <w:r>
        <w:rPr>
          <w:rFonts w:ascii="ＭＳ 明朝" w:eastAsia="ＭＳ 明朝" w:hAnsi="ＭＳ 明朝"/>
          <w:color w:val="222222"/>
          <w:sz w:val="21"/>
          <w:szCs w:val="21"/>
          <w:lang w:eastAsia="ja-JP"/>
        </w:rPr>
        <w:t>を私に見せた。</w:t>
      </w:r>
      <w:r>
        <w:rPr>
          <w:rFonts w:ascii="ＭＳ 明朝" w:eastAsia="ＭＳ 明朝" w:hAnsi="ＭＳ 明朝" w:hint="eastAsia"/>
          <w:color w:val="222222"/>
          <w:sz w:val="21"/>
          <w:szCs w:val="21"/>
          <w:lang w:eastAsia="ja-JP"/>
        </w:rPr>
        <w:t>『</w:t>
      </w:r>
      <w:r>
        <w:rPr>
          <w:rFonts w:ascii="ＭＳ 明朝" w:eastAsia="ＭＳ 明朝" w:hAnsi="ＭＳ 明朝"/>
          <w:color w:val="222222"/>
          <w:sz w:val="21"/>
          <w:szCs w:val="21"/>
          <w:lang w:eastAsia="ja-JP"/>
        </w:rPr>
        <w:t>この箱から落ちてしまった！返せ！</w:t>
      </w:r>
      <w:r>
        <w:rPr>
          <w:rFonts w:ascii="ＭＳ 明朝" w:eastAsia="ＭＳ 明朝" w:hAnsi="ＭＳ 明朝" w:hint="eastAsia"/>
          <w:color w:val="222222"/>
          <w:sz w:val="21"/>
          <w:szCs w:val="21"/>
          <w:lang w:eastAsia="ja-JP"/>
        </w:rPr>
        <w:t>』</w:t>
      </w:r>
      <w:r>
        <w:rPr>
          <w:rFonts w:ascii="ＭＳ 明朝" w:eastAsia="ＭＳ 明朝" w:hAnsi="ＭＳ 明朝"/>
          <w:color w:val="222222"/>
          <w:sz w:val="21"/>
          <w:szCs w:val="21"/>
          <w:lang w:eastAsia="ja-JP"/>
        </w:rPr>
        <w:t>その威</w:t>
      </w:r>
      <w:r>
        <w:rPr>
          <w:rFonts w:ascii="ＭＳ 明朝" w:eastAsia="ＭＳ 明朝" w:hAnsi="ＭＳ 明朝"/>
          <w:color w:val="222222"/>
          <w:sz w:val="21"/>
          <w:szCs w:val="21"/>
          <w:lang w:eastAsia="ja-JP"/>
        </w:rPr>
        <w:lastRenderedPageBreak/>
        <w:t>嚇的な目つきに圧倒され、私は恐怖にとられて</w:t>
      </w:r>
      <w:r>
        <w:rPr>
          <w:rFonts w:ascii="ＭＳ 明朝" w:eastAsia="ＭＳ 明朝" w:hAnsi="ＭＳ 明朝"/>
          <w:color w:val="CE181E"/>
          <w:sz w:val="21"/>
          <w:szCs w:val="21"/>
          <w:u w:val="single"/>
          <w:lang w:eastAsia="ja-JP"/>
        </w:rPr>
        <w:t>汗</w:t>
      </w:r>
      <w:r>
        <w:rPr>
          <w:rFonts w:ascii="ＭＳ 明朝" w:eastAsia="ＭＳ 明朝" w:hAnsi="ＭＳ 明朝"/>
          <w:color w:val="222222"/>
          <w:sz w:val="21"/>
          <w:szCs w:val="21"/>
          <w:lang w:eastAsia="ja-JP"/>
        </w:rPr>
        <w:t>を流し始めた。結局、おとなしくその冠を返すと剣心は機嫌を直してそのまま帰った。私はただ</w:t>
      </w:r>
      <w:r>
        <w:rPr>
          <w:rFonts w:ascii="ＭＳ 明朝" w:eastAsia="ＭＳ 明朝" w:hAnsi="ＭＳ 明朝"/>
          <w:color w:val="CE181E"/>
          <w:sz w:val="21"/>
          <w:szCs w:val="21"/>
          <w:u w:val="single"/>
          <w:lang w:eastAsia="ja-JP"/>
        </w:rPr>
        <w:t>地面に座り</w:t>
      </w:r>
      <w:r>
        <w:rPr>
          <w:rFonts w:ascii="ＭＳ 明朝" w:eastAsia="ＭＳ 明朝" w:hAnsi="ＭＳ 明朝"/>
          <w:color w:val="222222"/>
          <w:sz w:val="21"/>
          <w:szCs w:val="21"/>
          <w:lang w:eastAsia="ja-JP"/>
        </w:rPr>
        <w:t>ながらじっとその後姿をみることしかできなかった。今も失った冠の事思い出すと顔の</w:t>
      </w:r>
      <w:r>
        <w:rPr>
          <w:rFonts w:ascii="ＭＳ 明朝" w:eastAsia="ＭＳ 明朝" w:hAnsi="ＭＳ 明朝"/>
          <w:color w:val="CE181E"/>
          <w:sz w:val="21"/>
          <w:szCs w:val="21"/>
          <w:u w:val="single"/>
          <w:lang w:eastAsia="ja-JP"/>
        </w:rPr>
        <w:t>形</w:t>
      </w:r>
      <w:r>
        <w:rPr>
          <w:rFonts w:ascii="ＭＳ 明朝" w:eastAsia="ＭＳ 明朝" w:hAnsi="ＭＳ 明朝"/>
          <w:color w:val="222222"/>
          <w:sz w:val="21"/>
          <w:szCs w:val="21"/>
          <w:lang w:eastAsia="ja-JP"/>
        </w:rPr>
        <w:t>が悲しい表情を表すようになり、憂</w:t>
      </w:r>
      <w:r>
        <w:rPr>
          <w:rFonts w:ascii="ＭＳ 明朝" w:eastAsia="ＭＳ 明朝" w:hAnsi="ＭＳ 明朝"/>
          <w:color w:val="0066B3"/>
          <w:sz w:val="21"/>
          <w:szCs w:val="21"/>
          <w:u w:val="single"/>
          <w:lang w:eastAsia="ja-JP"/>
        </w:rPr>
        <w:t>鬱</w:t>
      </w:r>
      <w:r>
        <w:rPr>
          <w:rFonts w:ascii="ＭＳ 明朝" w:eastAsia="ＭＳ 明朝" w:hAnsi="ＭＳ 明朝"/>
          <w:color w:val="222222"/>
          <w:sz w:val="21"/>
          <w:szCs w:val="21"/>
          <w:lang w:eastAsia="ja-JP"/>
        </w:rPr>
        <w:t>を感じてしまう。</w:t>
      </w:r>
      <w:r>
        <w:rPr>
          <w:rFonts w:ascii="ＭＳ 明朝" w:eastAsia="ＭＳ 明朝" w:hAnsi="ＭＳ 明朝" w:hint="eastAsia"/>
          <w:color w:val="222222"/>
          <w:sz w:val="21"/>
          <w:szCs w:val="21"/>
          <w:lang w:eastAsia="ja-JP"/>
        </w:rPr>
        <w:t>」</w:t>
      </w:r>
    </w:p>
    <w:p w14:paraId="3123FF00" w14:textId="77777777" w:rsidR="000B3A92" w:rsidRDefault="000B3A92" w:rsidP="000B3A92">
      <w:pPr>
        <w:pStyle w:val="af"/>
        <w:spacing w:after="0"/>
        <w:rPr>
          <w:rFonts w:ascii="ＭＳ 明朝" w:eastAsia="ＭＳ 明朝" w:hAnsi="ＭＳ 明朝"/>
          <w:lang w:eastAsia="ja-JP"/>
        </w:rPr>
      </w:pPr>
      <w:r>
        <w:rPr>
          <w:rFonts w:ascii="ＭＳ 明朝" w:eastAsia="ＭＳ 明朝" w:hAnsi="ＭＳ 明朝"/>
          <w:color w:val="222222"/>
          <w:sz w:val="21"/>
          <w:szCs w:val="21"/>
          <w:lang w:eastAsia="ja-JP"/>
        </w:rPr>
        <w:t xml:space="preserve">　このように、漢字と部首を結ぶストーリーと各部首に与えられた意味を覚えている限り、漢字を忘れる恐れがなくなる。</w:t>
      </w:r>
    </w:p>
    <w:p w14:paraId="4CFA5F64" w14:textId="77777777" w:rsidR="000B3A92" w:rsidRDefault="000B3A92" w:rsidP="000B3A92">
      <w:pPr>
        <w:pStyle w:val="af"/>
        <w:spacing w:after="0"/>
        <w:rPr>
          <w:color w:val="222222"/>
          <w:sz w:val="21"/>
          <w:szCs w:val="21"/>
        </w:rPr>
      </w:pPr>
    </w:p>
    <w:p w14:paraId="3C2A689A" w14:textId="77777777" w:rsidR="000B3A92" w:rsidRPr="008C6DFD" w:rsidRDefault="000B3A92" w:rsidP="000B3A92">
      <w:pPr>
        <w:pStyle w:val="af"/>
        <w:spacing w:after="0"/>
        <w:rPr>
          <w:rFonts w:ascii="ＭＳ 明朝" w:eastAsia="ＭＳ 明朝" w:hAnsi="ＭＳ 明朝"/>
          <w:bCs/>
          <w:lang w:eastAsia="ja-JP"/>
        </w:rPr>
      </w:pPr>
      <w:r w:rsidRPr="008C6DFD">
        <w:rPr>
          <w:rFonts w:ascii="ＭＳ 明朝" w:eastAsia="ＭＳ 明朝" w:hAnsi="ＭＳ 明朝"/>
          <w:bCs/>
          <w:color w:val="222222"/>
          <w:sz w:val="21"/>
          <w:szCs w:val="21"/>
          <w:lang w:eastAsia="ja-JP"/>
        </w:rPr>
        <w:t>４．批判的な視点</w:t>
      </w:r>
    </w:p>
    <w:p w14:paraId="71A7841C" w14:textId="77777777" w:rsidR="000B3A92" w:rsidRDefault="000B3A92" w:rsidP="000B3A92">
      <w:pPr>
        <w:pStyle w:val="af"/>
        <w:spacing w:after="0"/>
        <w:rPr>
          <w:rFonts w:ascii="ＭＳ 明朝" w:eastAsia="ＭＳ 明朝" w:hAnsi="ＭＳ 明朝"/>
          <w:b/>
          <w:bCs/>
          <w:lang w:eastAsia="ja-JP"/>
        </w:rPr>
      </w:pPr>
      <w:r>
        <w:rPr>
          <w:rFonts w:ascii="ＭＳ 明朝" w:eastAsia="ＭＳ 明朝" w:hAnsi="ＭＳ 明朝"/>
          <w:b/>
          <w:bCs/>
          <w:color w:val="222222"/>
          <w:sz w:val="21"/>
          <w:szCs w:val="21"/>
          <w:lang w:eastAsia="ja-JP"/>
        </w:rPr>
        <w:t xml:space="preserve">　</w:t>
      </w:r>
      <w:r>
        <w:rPr>
          <w:rFonts w:ascii="ＭＳ 明朝" w:eastAsia="ＭＳ 明朝" w:hAnsi="ＭＳ 明朝"/>
          <w:color w:val="222222"/>
          <w:sz w:val="21"/>
          <w:szCs w:val="21"/>
          <w:lang w:eastAsia="ja-JP"/>
        </w:rPr>
        <w:t>こうした学習法には一つの欠点がある。常用漢字は2千以上あり、各漢字にこのようなストーリーを与えるには膨大な時間がかかる。そんな長い時間がかかるこの学習法より漢字学習を手早く済ませる視覚記憶の方がいいという意見もある。そこで学習者はこの学習法を選ぶ理由は何か。それほどの時間をかけることに値する何かを得ることがあるだろうか。</w:t>
      </w:r>
    </w:p>
    <w:p w14:paraId="42841B36" w14:textId="77777777" w:rsidR="000B3A92" w:rsidRDefault="000B3A92" w:rsidP="000B3A92">
      <w:pPr>
        <w:pStyle w:val="af"/>
        <w:spacing w:after="0"/>
        <w:rPr>
          <w:rFonts w:ascii="ＭＳ 明朝" w:eastAsia="ＭＳ 明朝" w:hAnsi="ＭＳ 明朝"/>
          <w:lang w:eastAsia="ja-JP"/>
        </w:rPr>
      </w:pPr>
      <w:r>
        <w:rPr>
          <w:rFonts w:ascii="ＭＳ 明朝" w:eastAsia="ＭＳ 明朝" w:hAnsi="ＭＳ 明朝"/>
          <w:color w:val="222222"/>
          <w:sz w:val="21"/>
          <w:szCs w:val="21"/>
          <w:lang w:eastAsia="ja-JP"/>
        </w:rPr>
        <w:t xml:space="preserve">　筆者はあると主張する。それは連想記憶が視覚記憶の最大な弱点を補うからである。それは紛らわしい漢字の混雑である。視覚記憶には似ている漢字の混雑を予防する方法はない。例を挙げると「拾」と「捨」の微妙な違いを丸暗記しても2千以上の漢字を勉強していくとその違いを忘れてしまう恐れがある。一方、似ている二つの部首を全く違う意味を与えてストーリーを作るとそのストーリーを間違える恐れがない。従って、似ている漢字の混雑も予防される。似ている意味と漢字がたくさんある日本語の学習にはこうした紛らわしい漢字をわきまえる能力を入手するには漢字学習にさほどの時間を注ぐ価値があると筆者の意見である。</w:t>
      </w:r>
    </w:p>
    <w:p w14:paraId="6114B5D1" w14:textId="77777777" w:rsidR="000B3A92" w:rsidRDefault="000B3A92" w:rsidP="000B3A92">
      <w:pPr>
        <w:pStyle w:val="af"/>
        <w:spacing w:after="0"/>
        <w:rPr>
          <w:color w:val="222222"/>
          <w:sz w:val="21"/>
          <w:szCs w:val="21"/>
        </w:rPr>
      </w:pPr>
    </w:p>
    <w:p w14:paraId="728FEC8A" w14:textId="77777777" w:rsidR="000B3A92" w:rsidRPr="008C6DFD" w:rsidRDefault="000B3A92" w:rsidP="000B3A92">
      <w:pPr>
        <w:pStyle w:val="af"/>
        <w:spacing w:after="0"/>
        <w:rPr>
          <w:rFonts w:ascii="ＭＳ 明朝" w:eastAsia="ＭＳ 明朝" w:hAnsi="ＭＳ 明朝"/>
          <w:bCs/>
          <w:lang w:eastAsia="ja-JP"/>
        </w:rPr>
      </w:pPr>
      <w:r w:rsidRPr="008C6DFD">
        <w:rPr>
          <w:rFonts w:ascii="ＭＳ 明朝" w:eastAsia="ＭＳ 明朝" w:hAnsi="ＭＳ 明朝"/>
          <w:bCs/>
          <w:color w:val="222222"/>
          <w:sz w:val="21"/>
          <w:szCs w:val="21"/>
          <w:lang w:eastAsia="ja-JP"/>
        </w:rPr>
        <w:t>５．おわりに</w:t>
      </w:r>
    </w:p>
    <w:p w14:paraId="3A0AE92B" w14:textId="77777777" w:rsidR="000B3A92" w:rsidRDefault="000B3A92" w:rsidP="000B3A92">
      <w:pPr>
        <w:pStyle w:val="af"/>
        <w:spacing w:after="0"/>
        <w:rPr>
          <w:sz w:val="21"/>
          <w:szCs w:val="21"/>
        </w:rPr>
      </w:pPr>
      <w:r>
        <w:rPr>
          <w:rFonts w:ascii="ＭＳ 明朝" w:eastAsia="ＭＳ 明朝" w:hAnsi="ＭＳ 明朝"/>
          <w:b/>
          <w:bCs/>
          <w:color w:val="222222"/>
          <w:sz w:val="21"/>
          <w:szCs w:val="21"/>
          <w:lang w:eastAsia="ja-JP"/>
        </w:rPr>
        <w:t xml:space="preserve">　</w:t>
      </w:r>
      <w:r>
        <w:rPr>
          <w:rFonts w:ascii="ＭＳ 明朝" w:eastAsia="ＭＳ 明朝" w:hAnsi="ＭＳ 明朝"/>
          <w:color w:val="222222"/>
          <w:sz w:val="21"/>
          <w:szCs w:val="21"/>
          <w:lang w:eastAsia="ja-JP"/>
        </w:rPr>
        <w:t>本レポートでは視覚記憶と連想記憶を定義したうえ、漢字をランダムな部首を組み立てた形のように考え、漢字を学習する際は視覚記憶が選ばれる傾向の原因について検討した。それから例を使いながら漢字とその部首の間に関係を作り、連想記憶を用いる学習法の優位を示した。最後に連想記憶を批判的な視点から見て、その批判を論理的に検討しようとした。</w:t>
      </w:r>
    </w:p>
    <w:p w14:paraId="4F9FEAB1" w14:textId="77777777" w:rsidR="000B3A92" w:rsidRDefault="000B3A92" w:rsidP="000B3A92">
      <w:pPr>
        <w:pStyle w:val="af"/>
        <w:spacing w:after="0"/>
        <w:rPr>
          <w:sz w:val="21"/>
          <w:szCs w:val="21"/>
        </w:rPr>
      </w:pPr>
      <w:r>
        <w:rPr>
          <w:rFonts w:ascii="ＭＳ 明朝" w:eastAsia="ＭＳ 明朝" w:hAnsi="ＭＳ 明朝"/>
          <w:color w:val="222222"/>
          <w:sz w:val="21"/>
          <w:szCs w:val="21"/>
          <w:lang w:eastAsia="ja-JP"/>
        </w:rPr>
        <w:t xml:space="preserve">　紛らわしい漢字の混雑は漢字学習の最大のハードルである。連想記憶でこの混雑を予防し、漢字学習には視覚記憶より効率性が高いということは明確である。この学習法はこれから正式的な授業で取り入れられるかどうかは今後の課題になる。</w:t>
      </w:r>
    </w:p>
    <w:p w14:paraId="44FB5A7F" w14:textId="77777777" w:rsidR="000B3A92" w:rsidRDefault="000B3A92" w:rsidP="000B3A92">
      <w:pPr>
        <w:pStyle w:val="af"/>
        <w:spacing w:after="0"/>
        <w:rPr>
          <w:rFonts w:ascii="ＭＳ 明朝" w:eastAsia="ＭＳ 明朝" w:hAnsi="ＭＳ 明朝"/>
          <w:color w:val="222222"/>
          <w:lang w:eastAsia="ja-JP"/>
        </w:rPr>
      </w:pPr>
    </w:p>
    <w:p w14:paraId="79CB9DF0" w14:textId="77777777" w:rsidR="000B3A92" w:rsidRPr="008C6DFD" w:rsidRDefault="000B3A92" w:rsidP="000B3A92">
      <w:pPr>
        <w:pStyle w:val="af"/>
        <w:spacing w:after="0"/>
      </w:pPr>
      <w:r w:rsidRPr="008C6DFD">
        <w:rPr>
          <w:rFonts w:ascii="ＭＳ 明朝" w:eastAsia="ＭＳ 明朝" w:hAnsi="ＭＳ 明朝"/>
          <w:bCs/>
          <w:color w:val="222222"/>
          <w:sz w:val="21"/>
          <w:szCs w:val="21"/>
          <w:lang w:eastAsia="ja-JP"/>
        </w:rPr>
        <w:t>参考文献</w:t>
      </w:r>
    </w:p>
    <w:p w14:paraId="570651B2" w14:textId="77777777" w:rsidR="000B3A92" w:rsidRDefault="000B3A92" w:rsidP="000B3A92">
      <w:pPr>
        <w:pStyle w:val="af"/>
        <w:spacing w:after="0"/>
        <w:rPr>
          <w:rFonts w:ascii="ＭＳ 明朝" w:eastAsia="ＭＳ 明朝" w:hAnsi="ＭＳ 明朝"/>
          <w:color w:val="222222"/>
          <w:sz w:val="21"/>
          <w:szCs w:val="21"/>
          <w:lang w:val="en-IN" w:eastAsia="ja-JP"/>
        </w:rPr>
      </w:pPr>
      <w:r>
        <w:rPr>
          <w:rFonts w:ascii="ＭＳ 明朝" w:eastAsia="ＭＳ 明朝" w:hAnsi="ＭＳ 明朝"/>
          <w:color w:val="222222"/>
          <w:sz w:val="21"/>
          <w:szCs w:val="21"/>
          <w:lang w:eastAsia="ja-JP"/>
        </w:rPr>
        <w:t>１．ジェームズ・ウォーレス・ハイジック『</w:t>
      </w:r>
      <w:r>
        <w:rPr>
          <w:rFonts w:ascii="ＭＳ 明朝" w:eastAsia="ＭＳ 明朝" w:hAnsi="ＭＳ 明朝"/>
          <w:color w:val="222222"/>
          <w:sz w:val="21"/>
          <w:szCs w:val="21"/>
          <w:lang w:val="en-IN" w:eastAsia="ja-JP"/>
        </w:rPr>
        <w:t>Remembering the Kanji 1: A Complete Course on How Not to Forget the Meaning and Writing of Japanese Characters』（第6版</w:t>
      </w:r>
      <w:r>
        <w:rPr>
          <w:rFonts w:ascii="ＭＳ 明朝" w:eastAsia="ＭＳ 明朝" w:hAnsi="ＭＳ 明朝" w:hint="eastAsia"/>
          <w:color w:val="222222"/>
          <w:sz w:val="21"/>
          <w:szCs w:val="21"/>
          <w:lang w:val="en-IN" w:eastAsia="ja-JP"/>
        </w:rPr>
        <w:t>、2011年</w:t>
      </w:r>
      <w:r>
        <w:rPr>
          <w:rFonts w:ascii="ＭＳ 明朝" w:eastAsia="ＭＳ 明朝" w:hAnsi="ＭＳ 明朝"/>
          <w:color w:val="222222"/>
          <w:sz w:val="21"/>
          <w:szCs w:val="21"/>
          <w:lang w:val="en-IN" w:eastAsia="ja-JP"/>
        </w:rPr>
        <w:t>）</w:t>
      </w:r>
    </w:p>
    <w:p w14:paraId="6FAFF1C7" w14:textId="77777777" w:rsidR="008C6DFD" w:rsidRDefault="008C6DFD" w:rsidP="000B3A92">
      <w:pPr>
        <w:pStyle w:val="af"/>
        <w:spacing w:after="0"/>
        <w:rPr>
          <w:rFonts w:ascii="ＭＳ 明朝" w:eastAsia="ＭＳ 明朝" w:hAnsi="ＭＳ 明朝"/>
          <w:color w:val="222222"/>
          <w:sz w:val="21"/>
          <w:szCs w:val="21"/>
          <w:lang w:val="en-IN" w:eastAsia="ja-JP"/>
        </w:rPr>
      </w:pPr>
    </w:p>
    <w:p w14:paraId="07312DE9" w14:textId="77777777" w:rsidR="00627C4F" w:rsidRDefault="00627C4F" w:rsidP="000B3A92">
      <w:pPr>
        <w:pStyle w:val="af"/>
        <w:spacing w:after="0"/>
        <w:rPr>
          <w:rFonts w:ascii="ＭＳ 明朝" w:eastAsia="ＭＳ 明朝" w:hAnsi="ＭＳ 明朝"/>
          <w:color w:val="222222"/>
          <w:sz w:val="21"/>
          <w:szCs w:val="21"/>
          <w:lang w:val="en-IN" w:eastAsia="ja-JP"/>
        </w:rPr>
      </w:pPr>
    </w:p>
    <w:p w14:paraId="38ECE979" w14:textId="77777777" w:rsidR="005701DD" w:rsidRPr="007968D6" w:rsidRDefault="005701DD" w:rsidP="005701DD">
      <w:pPr>
        <w:spacing w:line="276" w:lineRule="auto"/>
        <w:jc w:val="center"/>
        <w:rPr>
          <w:rFonts w:ascii="ＭＳ 明朝" w:eastAsia="ＭＳ 明朝" w:hAnsi="ＭＳ 明朝" w:cs="Times New Roman"/>
          <w:sz w:val="24"/>
          <w:szCs w:val="24"/>
          <w:lang w:eastAsia="ja-JP"/>
        </w:rPr>
      </w:pPr>
      <w:r w:rsidRPr="007968D6">
        <w:rPr>
          <w:rFonts w:ascii="ＭＳ 明朝" w:eastAsia="ＭＳ 明朝" w:hAnsi="ＭＳ 明朝" w:cs="Times New Roman" w:hint="eastAsia"/>
          <w:sz w:val="24"/>
          <w:szCs w:val="24"/>
          <w:lang w:eastAsia="ja-JP"/>
        </w:rPr>
        <w:lastRenderedPageBreak/>
        <w:t>香港行政長官選挙改革－民主的な制度への方案分析</w:t>
      </w:r>
    </w:p>
    <w:p w14:paraId="73C58EF6" w14:textId="77777777" w:rsidR="005701DD" w:rsidRPr="007968D6" w:rsidRDefault="005701DD" w:rsidP="005701DD">
      <w:pPr>
        <w:spacing w:line="276" w:lineRule="auto"/>
        <w:jc w:val="right"/>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黄　卓耀</w:t>
      </w:r>
    </w:p>
    <w:p w14:paraId="7D0A628F" w14:textId="77777777" w:rsidR="005701DD"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キーワード：香港行政長官選挙、政治的権利、指名権利</w:t>
      </w:r>
    </w:p>
    <w:p w14:paraId="39616318" w14:textId="77777777" w:rsidR="008C6DFD" w:rsidRPr="007968D6" w:rsidRDefault="008C6DFD" w:rsidP="005701DD">
      <w:pPr>
        <w:spacing w:line="276" w:lineRule="auto"/>
        <w:rPr>
          <w:rFonts w:ascii="ＭＳ 明朝" w:eastAsia="ＭＳ 明朝" w:hAnsi="ＭＳ 明朝" w:cs="Times New Roman"/>
          <w:szCs w:val="21"/>
          <w:lang w:eastAsia="ja-JP"/>
        </w:rPr>
      </w:pPr>
    </w:p>
    <w:p w14:paraId="1273F712"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１．はじめに</w:t>
      </w:r>
    </w:p>
    <w:p w14:paraId="05DA2F68"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近年、香港の政治制度の改革が話題になっている。政府が提案した行政長官</w:t>
      </w:r>
      <w:r w:rsidRPr="007968D6">
        <w:rPr>
          <w:rStyle w:val="ae"/>
          <w:rFonts w:ascii="ＭＳ 明朝" w:eastAsia="ＭＳ 明朝" w:hAnsi="ＭＳ 明朝" w:cs="Times New Roman"/>
          <w:szCs w:val="21"/>
          <w:lang w:eastAsia="ja-JP"/>
        </w:rPr>
        <w:footnoteReference w:id="4"/>
      </w:r>
      <w:r w:rsidRPr="007968D6">
        <w:rPr>
          <w:rFonts w:ascii="ＭＳ 明朝" w:eastAsia="ＭＳ 明朝" w:hAnsi="ＭＳ 明朝" w:cs="Times New Roman" w:hint="eastAsia"/>
          <w:szCs w:val="21"/>
          <w:lang w:eastAsia="ja-JP"/>
        </w:rPr>
        <w:t>選挙の改革政策について、社会での議論や是非が活発化している。政府は指名委員会の指名方法</w:t>
      </w:r>
      <w:r w:rsidRPr="007968D6">
        <w:rPr>
          <w:rStyle w:val="ae"/>
          <w:rFonts w:ascii="ＭＳ 明朝" w:eastAsia="ＭＳ 明朝" w:hAnsi="ＭＳ 明朝" w:cs="Times New Roman"/>
          <w:szCs w:val="21"/>
          <w:lang w:eastAsia="ja-JP"/>
        </w:rPr>
        <w:footnoteReference w:id="5"/>
      </w:r>
      <w:r w:rsidRPr="007968D6">
        <w:rPr>
          <w:rFonts w:ascii="ＭＳ 明朝" w:eastAsia="ＭＳ 明朝" w:hAnsi="ＭＳ 明朝" w:cs="Times New Roman" w:hint="eastAsia"/>
          <w:szCs w:val="21"/>
          <w:lang w:eastAsia="ja-JP"/>
        </w:rPr>
        <w:t>を通して行政長官の立候補者を指名することを提案した。一方、学者は公民指名と政党指名を望み、公平で民主的な指名方法を政府に提案した。それでは、政府の指名方法は民主的な方案だろうか。民主党の方案が述べているように、公民指名は重要な政治権利である。本研究では、政府、政党と学者の提案を比較し、指名方法の善し悪しを解明し、民主党の方案は市民の権利を守り、それは取るべきだと主張する。</w:t>
      </w:r>
    </w:p>
    <w:p w14:paraId="1E594F4C"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p>
    <w:p w14:paraId="6343D805"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２．不公平な行政長官の指名</w:t>
      </w:r>
    </w:p>
    <w:p w14:paraId="3CC3279C"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まず、政府の指名方法は不公平である。指名とは、名をあげ、その人を指定することである。香港行政長官選挙での指名では行政長官の立候補者を指定することである。指名方法は、政府と学者は別々の方法がある。政府は指名委員会の指名方法を提案した。学者は公民指名と政党指名の権利を入れることを政府に提案した。指名委員会指名は、委員が立候補者を指名することである。公民指名は、年齢資格を満たす国民が立候補者を指名することである。政党指名は、政党から立候補者を指名することである。</w:t>
      </w:r>
    </w:p>
    <w:p w14:paraId="25D365D0"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そこで、政府は公民指名や政党指名を加えず、指名委員会の指名だけで行政長官の指名を行うことを主張している。そうした指名方法は市民の意見を無視し、政治力が低い政党には不公平である。国際連合総会の『市民的及び政治的権利に関する国際規約』によると、選挙権や被選挙権は人権保障の基本である。しかし、公民指名や政党指名がないことによって、市民の選挙権や被選挙権が制限されている。つまり、市民は立候補者を指名する選挙権と立候補者になる被選挙権が奪われているということだ。</w:t>
      </w:r>
    </w:p>
    <w:p w14:paraId="39F5A3BF" w14:textId="77777777" w:rsidR="005701DD"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一方、民主党も異なる指名方法を提案した</w:t>
      </w:r>
      <w:r w:rsidRPr="007968D6">
        <w:rPr>
          <w:rStyle w:val="ae"/>
          <w:rFonts w:ascii="ＭＳ 明朝" w:eastAsia="ＭＳ 明朝" w:hAnsi="ＭＳ 明朝" w:cs="Times New Roman"/>
          <w:szCs w:val="21"/>
          <w:lang w:eastAsia="ja-JP"/>
        </w:rPr>
        <w:footnoteReference w:id="6"/>
      </w:r>
      <w:r w:rsidRPr="007968D6">
        <w:rPr>
          <w:rFonts w:ascii="ＭＳ 明朝" w:eastAsia="ＭＳ 明朝" w:hAnsi="ＭＳ 明朝" w:cs="Times New Roman" w:hint="eastAsia"/>
          <w:szCs w:val="21"/>
          <w:lang w:eastAsia="ja-JP"/>
        </w:rPr>
        <w:t>。民主党は、指名委員会の指名権利を保有しながら、政党指名と公民指名を加えた。民主党の指名条件は三つある。まず、指名委員会に地域議員を加えて、人数を1</w:t>
      </w:r>
      <w:r w:rsidRPr="007968D6">
        <w:rPr>
          <w:rFonts w:ascii="ＭＳ 明朝" w:eastAsia="ＭＳ 明朝" w:hAnsi="ＭＳ 明朝" w:cs="Times New Roman"/>
          <w:szCs w:val="21"/>
          <w:lang w:eastAsia="ja-JP"/>
        </w:rPr>
        <w:t>500</w:t>
      </w:r>
      <w:r w:rsidRPr="007968D6">
        <w:rPr>
          <w:rFonts w:ascii="ＭＳ 明朝" w:eastAsia="ＭＳ 明朝" w:hAnsi="ＭＳ 明朝" w:cs="Times New Roman" w:hint="eastAsia"/>
          <w:szCs w:val="21"/>
          <w:lang w:eastAsia="ja-JP"/>
        </w:rPr>
        <w:t>人に増加することである。次に、指名委員会の委員投票権利を個人票にして、投票有権者を3</w:t>
      </w:r>
      <w:r w:rsidRPr="007968D6">
        <w:rPr>
          <w:rFonts w:ascii="ＭＳ 明朝" w:eastAsia="ＭＳ 明朝" w:hAnsi="ＭＳ 明朝" w:cs="Times New Roman"/>
          <w:szCs w:val="21"/>
          <w:lang w:eastAsia="ja-JP"/>
        </w:rPr>
        <w:t>00</w:t>
      </w:r>
      <w:r w:rsidRPr="007968D6">
        <w:rPr>
          <w:rFonts w:ascii="ＭＳ 明朝" w:eastAsia="ＭＳ 明朝" w:hAnsi="ＭＳ 明朝" w:cs="Times New Roman" w:hint="eastAsia"/>
          <w:szCs w:val="21"/>
          <w:lang w:eastAsia="ja-JP"/>
        </w:rPr>
        <w:t>万人に増やすことである。また、政党指名と公民指名を加え、政党と市民は立候補者を指名することができることである。この方案は、</w:t>
      </w:r>
      <w:r w:rsidRPr="007968D6">
        <w:rPr>
          <w:rFonts w:ascii="ＭＳ 明朝" w:eastAsia="ＭＳ 明朝" w:hAnsi="ＭＳ 明朝" w:cs="Times New Roman" w:hint="eastAsia"/>
          <w:szCs w:val="21"/>
          <w:lang w:eastAsia="ja-JP"/>
        </w:rPr>
        <w:lastRenderedPageBreak/>
        <w:t>あらゆる意見を受け、公平性を求める指名方法である。政府の指名方法も考慮に入れ、各方面の有識者や有権者の意見も取り入れた指名方法だといえよう。</w:t>
      </w:r>
    </w:p>
    <w:p w14:paraId="68234FB5" w14:textId="77777777" w:rsidR="008C6DFD" w:rsidRPr="007968D6" w:rsidRDefault="008C6DFD" w:rsidP="005701DD">
      <w:pPr>
        <w:spacing w:line="276" w:lineRule="auto"/>
        <w:rPr>
          <w:rFonts w:ascii="ＭＳ 明朝" w:eastAsia="ＭＳ 明朝" w:hAnsi="ＭＳ 明朝" w:cs="Times New Roman"/>
          <w:szCs w:val="21"/>
          <w:lang w:eastAsia="ja-JP"/>
        </w:rPr>
      </w:pPr>
    </w:p>
    <w:p w14:paraId="1F979F4B"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３．指名委員会の代表としての正当性の低さ</w:t>
      </w:r>
    </w:p>
    <w:p w14:paraId="16C6CFF9"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では、政府の指名方法は広く人々の意見を反映しているのであろうか。政府の指名方法は、指名委員会という各産業の市民から選ばれた委員の組織である。指名委員会は専門家代表、金融業界代表、社会福祉代表と立法会議員の四つのグループに分かれている。指名方法によると、指名委員会は過去の8</w:t>
      </w:r>
      <w:r w:rsidRPr="007968D6">
        <w:rPr>
          <w:rFonts w:ascii="ＭＳ 明朝" w:eastAsia="ＭＳ 明朝" w:hAnsi="ＭＳ 明朝" w:cs="Times New Roman"/>
          <w:szCs w:val="21"/>
          <w:lang w:eastAsia="ja-JP"/>
        </w:rPr>
        <w:t>00</w:t>
      </w:r>
      <w:r w:rsidRPr="007968D6">
        <w:rPr>
          <w:rFonts w:ascii="ＭＳ 明朝" w:eastAsia="ＭＳ 明朝" w:hAnsi="ＭＳ 明朝" w:cs="Times New Roman" w:hint="eastAsia"/>
          <w:szCs w:val="21"/>
          <w:lang w:eastAsia="ja-JP"/>
        </w:rPr>
        <w:t>人から1</w:t>
      </w:r>
      <w:r w:rsidRPr="007968D6">
        <w:rPr>
          <w:rFonts w:ascii="ＭＳ 明朝" w:eastAsia="ＭＳ 明朝" w:hAnsi="ＭＳ 明朝" w:cs="Times New Roman"/>
          <w:szCs w:val="21"/>
          <w:lang w:eastAsia="ja-JP"/>
        </w:rPr>
        <w:t>200</w:t>
      </w:r>
      <w:r w:rsidRPr="007968D6">
        <w:rPr>
          <w:rFonts w:ascii="ＭＳ 明朝" w:eastAsia="ＭＳ 明朝" w:hAnsi="ＭＳ 明朝" w:cs="Times New Roman" w:hint="eastAsia"/>
          <w:szCs w:val="21"/>
          <w:lang w:eastAsia="ja-JP"/>
        </w:rPr>
        <w:t>人に増加し、今後の行政長官選挙の立候補者を指名することになる。</w:t>
      </w:r>
    </w:p>
    <w:p w14:paraId="6425411F"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しかし、指名委員会は代表としての正当性は低いとの意見もある。政府のデータによると、2</w:t>
      </w:r>
      <w:r w:rsidRPr="007968D6">
        <w:rPr>
          <w:rFonts w:ascii="ＭＳ 明朝" w:eastAsia="ＭＳ 明朝" w:hAnsi="ＭＳ 明朝" w:cs="Times New Roman"/>
          <w:szCs w:val="21"/>
          <w:lang w:eastAsia="ja-JP"/>
        </w:rPr>
        <w:t>016</w:t>
      </w:r>
      <w:r w:rsidRPr="007968D6">
        <w:rPr>
          <w:rFonts w:ascii="ＭＳ 明朝" w:eastAsia="ＭＳ 明朝" w:hAnsi="ＭＳ 明朝" w:cs="Times New Roman" w:hint="eastAsia"/>
          <w:szCs w:val="21"/>
          <w:lang w:eastAsia="ja-JP"/>
        </w:rPr>
        <w:t>年に投票資格を持つ市民の数は3</w:t>
      </w:r>
      <w:r w:rsidRPr="007968D6">
        <w:rPr>
          <w:rFonts w:ascii="ＭＳ 明朝" w:eastAsia="ＭＳ 明朝" w:hAnsi="ＭＳ 明朝" w:cs="Times New Roman"/>
          <w:szCs w:val="21"/>
          <w:lang w:eastAsia="ja-JP"/>
        </w:rPr>
        <w:t>77</w:t>
      </w:r>
      <w:r w:rsidRPr="007968D6">
        <w:rPr>
          <w:rFonts w:ascii="ＭＳ 明朝" w:eastAsia="ＭＳ 明朝" w:hAnsi="ＭＳ 明朝" w:cs="Times New Roman" w:hint="eastAsia"/>
          <w:szCs w:val="21"/>
          <w:lang w:eastAsia="ja-JP"/>
        </w:rPr>
        <w:t>万を超えている。委員会の人数は市民の人数の0</w:t>
      </w:r>
      <w:r w:rsidRPr="007968D6">
        <w:rPr>
          <w:rFonts w:ascii="ＭＳ 明朝" w:eastAsia="ＭＳ 明朝" w:hAnsi="ＭＳ 明朝" w:cs="Times New Roman"/>
          <w:szCs w:val="21"/>
          <w:lang w:eastAsia="ja-JP"/>
        </w:rPr>
        <w:t>.03%</w:t>
      </w:r>
      <w:r w:rsidRPr="007968D6">
        <w:rPr>
          <w:rFonts w:ascii="ＭＳ 明朝" w:eastAsia="ＭＳ 明朝" w:hAnsi="ＭＳ 明朝" w:cs="Times New Roman" w:hint="eastAsia"/>
          <w:szCs w:val="21"/>
          <w:lang w:eastAsia="ja-JP"/>
        </w:rPr>
        <w:t>にすぎない。この比率から見ると、市民の意見や社会の状態が本当に指名委員会の考えの中にあるのかが疑問点である。</w:t>
      </w:r>
    </w:p>
    <w:p w14:paraId="04402EE9"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さらに、各産業の市民の投票権利は確保されていない。指名委員会の仕組みを見ると、委員を推薦するのは各産業の市民ではなく、会社や組織である。こうした仕組みの中で、指名委員会の委員は主に大手企業の意向と同様の人物になり、中小企業の意見、または個人的な意向も委員会や選挙に反映されていない。</w:t>
      </w:r>
    </w:p>
    <w:p w14:paraId="2D5462A8"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以上のことから、指名委員会の代表としての正当性の低さが見られる。市民や産業の中にいる人々も立候補者を推薦するも投票する権利もない。結果として、政府の指名方法から推薦した立候補者、あるいはその後に市民が投票した行政長官は、社会の期待に答える政府の首長ではないと考える。</w:t>
      </w:r>
    </w:p>
    <w:p w14:paraId="1959A1D9" w14:textId="77777777" w:rsidR="005701DD" w:rsidRPr="007968D6" w:rsidRDefault="005701DD" w:rsidP="005701DD">
      <w:pPr>
        <w:spacing w:line="276" w:lineRule="auto"/>
        <w:rPr>
          <w:rFonts w:ascii="ＭＳ 明朝" w:eastAsia="ＭＳ 明朝" w:hAnsi="ＭＳ 明朝" w:cs="Times New Roman"/>
          <w:szCs w:val="21"/>
          <w:lang w:eastAsia="ja-JP"/>
        </w:rPr>
      </w:pPr>
    </w:p>
    <w:p w14:paraId="1EA2BB01"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４．行政長官の資格制限</w:t>
      </w:r>
    </w:p>
    <w:p w14:paraId="63ECDF8A"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従来、香港の行政長官の基本資格は『基本法』</w:t>
      </w:r>
      <w:r w:rsidRPr="007968D6">
        <w:rPr>
          <w:rStyle w:val="ae"/>
          <w:rFonts w:ascii="ＭＳ 明朝" w:eastAsia="ＭＳ 明朝" w:hAnsi="ＭＳ 明朝" w:cs="Times New Roman"/>
          <w:szCs w:val="21"/>
          <w:lang w:eastAsia="ja-JP"/>
        </w:rPr>
        <w:footnoteReference w:id="7"/>
      </w:r>
      <w:r w:rsidRPr="007968D6">
        <w:rPr>
          <w:rFonts w:ascii="ＭＳ 明朝" w:eastAsia="ＭＳ 明朝" w:hAnsi="ＭＳ 明朝" w:cs="Times New Roman" w:hint="eastAsia"/>
          <w:szCs w:val="21"/>
          <w:lang w:eastAsia="ja-JP"/>
        </w:rPr>
        <w:t>に定められている。基本資格の条件</w:t>
      </w:r>
      <w:r w:rsidRPr="007968D6">
        <w:rPr>
          <w:rStyle w:val="ae"/>
          <w:rFonts w:ascii="ＭＳ 明朝" w:eastAsia="ＭＳ 明朝" w:hAnsi="ＭＳ 明朝" w:cs="Times New Roman"/>
          <w:szCs w:val="21"/>
          <w:lang w:eastAsia="ja-JP"/>
        </w:rPr>
        <w:footnoteReference w:id="8"/>
      </w:r>
      <w:r w:rsidRPr="007968D6">
        <w:rPr>
          <w:rFonts w:ascii="ＭＳ 明朝" w:eastAsia="ＭＳ 明朝" w:hAnsi="ＭＳ 明朝" w:cs="Times New Roman" w:hint="eastAsia"/>
          <w:szCs w:val="21"/>
          <w:lang w:eastAsia="ja-JP"/>
        </w:rPr>
        <w:t>を達成して、行政長官になる基本資格を得た後、立候補者となり選挙で競争することになる。しかし、『全国人民代表大会常務委員会の香港特別行政区における行政長官普通選挙問題と</w:t>
      </w:r>
      <w:r w:rsidRPr="007968D6">
        <w:rPr>
          <w:rFonts w:ascii="ＭＳ 明朝" w:eastAsia="ＭＳ 明朝" w:hAnsi="ＭＳ 明朝" w:cs="Times New Roman"/>
          <w:szCs w:val="21"/>
          <w:lang w:eastAsia="ja-JP"/>
        </w:rPr>
        <w:t>2016</w:t>
      </w:r>
      <w:r w:rsidRPr="007968D6">
        <w:rPr>
          <w:rFonts w:ascii="ＭＳ 明朝" w:eastAsia="ＭＳ 明朝" w:hAnsi="ＭＳ 明朝" w:cs="Times New Roman" w:hint="eastAsia"/>
          <w:szCs w:val="21"/>
          <w:lang w:eastAsia="ja-JP"/>
        </w:rPr>
        <w:t>年立法会構成方法の決定』の説明の中で、立候補者は必ず「愛国愛党」（国を愛する、共産党を愛する）者であることという資格制限を加えた。この条件により、「共産党を愛する」という政治主張ではない立候補者は、資格がない参加者とされる。この資格制限は、異なる政治主張の立候補者にとって不公平でもあり、異見者を選挙から排除することの疑問もある。</w:t>
      </w:r>
    </w:p>
    <w:p w14:paraId="1148AA98"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また、『基本法』は行政長官が政党に所属できるかどうかの説明もある。『基本法』によると、行政長官は当選した七日以内に「政党に所属していない」という声明をしなければならない。行政長官の在任期間も政党に所属してはいけない。これは、行政長官の中立性</w:t>
      </w:r>
      <w:r w:rsidRPr="007968D6">
        <w:rPr>
          <w:rFonts w:ascii="ＭＳ 明朝" w:eastAsia="ＭＳ 明朝" w:hAnsi="ＭＳ 明朝" w:cs="Times New Roman" w:hint="eastAsia"/>
          <w:szCs w:val="21"/>
          <w:lang w:eastAsia="ja-JP"/>
        </w:rPr>
        <w:lastRenderedPageBreak/>
        <w:t>を守り、政党の政治主張や優先事項を阻まないようにするためである。ここからも政府の主張、立候補者の資格制限は理不尽な要求であることが明らかになった。</w:t>
      </w:r>
    </w:p>
    <w:p w14:paraId="2BC54D8E" w14:textId="77777777" w:rsidR="005701DD" w:rsidRPr="007968D6" w:rsidRDefault="005701DD" w:rsidP="005701DD">
      <w:pPr>
        <w:spacing w:line="276" w:lineRule="auto"/>
        <w:rPr>
          <w:rFonts w:ascii="ＭＳ 明朝" w:eastAsia="ＭＳ 明朝" w:hAnsi="ＭＳ 明朝" w:cs="Times New Roman"/>
          <w:szCs w:val="21"/>
          <w:lang w:eastAsia="ja-JP"/>
        </w:rPr>
      </w:pPr>
    </w:p>
    <w:p w14:paraId="4B3D0D3D"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５．政府の主張を納得する</w:t>
      </w:r>
    </w:p>
    <w:p w14:paraId="0031B009"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政府が行政長官改革の指名方法を公開した以来、賛否両論が続けてきた。政府を支持する政党や公務員は、政府の方案を先に受ける主張を述べた。政府の方案を納得して、先に改革すれば、民主的な制度の基盤になり、今後の制度発展にとって大事な一歩になるという意見が出された。</w:t>
      </w:r>
    </w:p>
    <w:p w14:paraId="0D3AF8B4"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しかし、政府の指名方法は本当に民主的なのか。確かに、政府の指名方法で市民に投票の権利を与え、行政長官を立候補者から選ぶことができるが、立候補者を推薦するも指名することもできない。指名方法には民主的な部分があるとは間違いないが、その部分は小さくて影響力が足りない。つまり、市民の意見は選挙結果に反映されていないということだ。立候補者を推薦するのは業界代表や議員など権力がある人のみであり、それは市民には不公平なことである。</w:t>
      </w:r>
    </w:p>
    <w:p w14:paraId="2A63C40C"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民主的な制度を作るには、最初から基盤を固めなければならない。政府の指名方法は明らかに民主的な方法とは言えない。したがって、それを先に受けて、後で改善するのは効率が下がる上に、民主制度の発展を妨げることになる。</w:t>
      </w:r>
    </w:p>
    <w:p w14:paraId="5064BA1E"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以上のことから、政府の指名方法の民主的な部分は不足していると言える。一方、民主党が提案した方法は、市民の政治権利を明確に加えた。市民の政治権利は民主制度の発展には大事なことである。政府の指名方法より民主党の方法を取るのは社会の発展に有利になると考える。</w:t>
      </w:r>
    </w:p>
    <w:p w14:paraId="43450394"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p>
    <w:p w14:paraId="49A70B7F"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７．おわりに</w:t>
      </w:r>
    </w:p>
    <w:p w14:paraId="2870F2F6"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本研究では、行政長官選挙改革において政府と他の指名方法について検討した。いくつの方案を取り上げた結果、民主党の方案は比較的に民主的な方案であり、政府はこれを取るべきだと考える。民主党の方案は公民指名や政党指名を加えることで、市民の政治参加度が上げられる。これまで香港の市民は有権者としての指名権がなく、もし改革によって指名権を得れば、香港の民主化の発展も一歩進めると考えられる。</w:t>
      </w:r>
    </w:p>
    <w:p w14:paraId="10258975" w14:textId="77777777" w:rsidR="005701DD" w:rsidRPr="007968D6" w:rsidRDefault="005701DD" w:rsidP="005701DD">
      <w:pPr>
        <w:spacing w:line="276" w:lineRule="auto"/>
        <w:ind w:firstLineChars="100" w:firstLine="210"/>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香港が中国に返還されてから二十年の間に、政党や学者は行政長官選挙に向けて多くの指名方法を提案した。しかし、政府は受けずに指名委員会の指名方法を使って改革をしようとした。さらに、行政長官の立候補者の資格制限を加えることは、中国共産党の介入ともいえるであろう。香港は一国二制度を実行し、自治体として政治は香港政府の管轄であり、共産党の介入は認められない。</w:t>
      </w:r>
    </w:p>
    <w:p w14:paraId="0B1708ED" w14:textId="77777777" w:rsidR="005701DD" w:rsidRPr="007968D6" w:rsidRDefault="005701DD" w:rsidP="005701DD">
      <w:pPr>
        <w:spacing w:line="276" w:lineRule="auto"/>
        <w:rPr>
          <w:rFonts w:ascii="ＭＳ 明朝" w:eastAsia="ＭＳ 明朝" w:hAnsi="ＭＳ 明朝" w:cs="Times New Roman"/>
          <w:szCs w:val="21"/>
          <w:lang w:eastAsia="ja-JP"/>
        </w:rPr>
      </w:pPr>
      <w:r w:rsidRPr="007968D6">
        <w:rPr>
          <w:rFonts w:ascii="ＭＳ 明朝" w:eastAsia="ＭＳ 明朝" w:hAnsi="ＭＳ 明朝" w:cs="Times New Roman" w:hint="eastAsia"/>
          <w:szCs w:val="21"/>
          <w:lang w:eastAsia="ja-JP"/>
        </w:rPr>
        <w:t xml:space="preserve">　結論として、行政長官選挙の改革はより民主的な方案を取るべきである。それを達成するには、市民の意見を尊重し、政治権利を加えることである。本研究では、民主政治に関する概念や法律的な分析は不足している。今後の課題は、より民主的な指名方法の研究や指名委員会の法律の妥当性を研究することである。</w:t>
      </w:r>
    </w:p>
    <w:p w14:paraId="0DBE2126" w14:textId="77777777" w:rsidR="005701DD" w:rsidRPr="0005544F" w:rsidRDefault="005701DD" w:rsidP="005701DD">
      <w:pPr>
        <w:spacing w:line="276" w:lineRule="auto"/>
        <w:rPr>
          <w:rFonts w:ascii="Century" w:eastAsia="游明朝" w:hAnsi="Century" w:cs="Times New Roman"/>
          <w:lang w:eastAsia="ja-JP"/>
        </w:rPr>
      </w:pPr>
    </w:p>
    <w:p w14:paraId="0506B26A" w14:textId="77777777" w:rsidR="00302E6E" w:rsidRDefault="00302E6E" w:rsidP="008C6DFD">
      <w:pPr>
        <w:jc w:val="center"/>
        <w:rPr>
          <w:rFonts w:ascii="ＭＳ 明朝" w:eastAsia="ＭＳ 明朝" w:hAnsi="ＭＳ 明朝"/>
          <w:sz w:val="24"/>
          <w:szCs w:val="24"/>
          <w:lang w:eastAsia="ja-JP"/>
        </w:rPr>
      </w:pPr>
      <w:r w:rsidRPr="00302E6E">
        <w:rPr>
          <w:rFonts w:ascii="ＭＳ 明朝" w:eastAsia="ＭＳ 明朝" w:hAnsi="ＭＳ 明朝"/>
          <w:sz w:val="24"/>
          <w:szCs w:val="24"/>
        </w:rPr>
        <w:lastRenderedPageBreak/>
        <w:t>「ている形」と「た形」動詞の使い方の差異</w:t>
      </w:r>
    </w:p>
    <w:p w14:paraId="4EBB5DB4" w14:textId="6CF72ED3" w:rsidR="00302E6E" w:rsidRPr="00302E6E" w:rsidRDefault="00302E6E" w:rsidP="00302E6E">
      <w:pPr>
        <w:jc w:val="right"/>
        <w:rPr>
          <w:rFonts w:ascii="ＭＳ 明朝" w:eastAsia="ＭＳ 明朝" w:hAnsi="ＭＳ 明朝"/>
          <w:szCs w:val="21"/>
        </w:rPr>
      </w:pPr>
      <w:r w:rsidRPr="00302E6E">
        <w:rPr>
          <w:rFonts w:ascii="ＭＳ 明朝" w:eastAsia="ＭＳ 明朝" w:hAnsi="ＭＳ 明朝"/>
          <w:szCs w:val="21"/>
        </w:rPr>
        <w:t>朴オリガ</w:t>
      </w:r>
    </w:p>
    <w:p w14:paraId="62859B82" w14:textId="77777777" w:rsidR="00302E6E" w:rsidRPr="00302E6E" w:rsidRDefault="00302E6E" w:rsidP="00302E6E">
      <w:pPr>
        <w:jc w:val="center"/>
        <w:rPr>
          <w:rFonts w:ascii="ＭＳ 明朝" w:eastAsia="ＭＳ 明朝" w:hAnsi="ＭＳ 明朝"/>
          <w:sz w:val="24"/>
          <w:szCs w:val="24"/>
        </w:rPr>
      </w:pPr>
    </w:p>
    <w:p w14:paraId="3AABA33E"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１．はじめに</w:t>
      </w:r>
    </w:p>
    <w:p w14:paraId="65A25345" w14:textId="77777777" w:rsidR="00302E6E" w:rsidRDefault="00302E6E" w:rsidP="00302E6E">
      <w:pPr>
        <w:rPr>
          <w:rFonts w:ascii="ＭＳ 明朝" w:eastAsia="ＭＳ 明朝" w:hAnsi="ＭＳ 明朝"/>
          <w:szCs w:val="21"/>
          <w:lang w:eastAsia="ja-JP"/>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『日本語文法事典』</w:t>
      </w:r>
      <w:r w:rsidRPr="00302E6E">
        <w:rPr>
          <w:rFonts w:ascii="ＭＳ 明朝" w:eastAsia="ＭＳ 明朝" w:hAnsi="ＭＳ 明朝" w:hint="eastAsia"/>
          <w:szCs w:val="21"/>
        </w:rPr>
        <w:t>（２０１４）</w:t>
      </w:r>
      <w:r w:rsidRPr="00302E6E">
        <w:rPr>
          <w:rFonts w:ascii="ＭＳ 明朝" w:eastAsia="ＭＳ 明朝" w:hAnsi="ＭＳ 明朝"/>
          <w:szCs w:val="21"/>
        </w:rPr>
        <w:t>によれば、「ている形」と「た形」の動詞は存続の意味も過去の意味も用法もあり、「ている」と「た」の使い方が問題となっている。過去のことについて発語する際、「ている」と「た」にはどのような違いがあるか、また、どのように正しく使い分けられるかを明らかにする必要がある。西山の研究によって過去に起こった出来事が現在と何らかの関係を持っているときは「～している」を用いることがわかった。しかし、「た形」の動詞は現在と関係がない場合のみ使えるか解明され</w:t>
      </w:r>
      <w:r w:rsidRPr="00302E6E">
        <w:rPr>
          <w:rFonts w:ascii="ＭＳ 明朝" w:eastAsia="ＭＳ 明朝" w:hAnsi="ＭＳ 明朝" w:hint="eastAsia"/>
          <w:szCs w:val="21"/>
        </w:rPr>
        <w:t>て</w:t>
      </w:r>
      <w:r w:rsidRPr="00302E6E">
        <w:rPr>
          <w:rFonts w:ascii="ＭＳ 明朝" w:eastAsia="ＭＳ 明朝" w:hAnsi="ＭＳ 明朝"/>
          <w:szCs w:val="21"/>
        </w:rPr>
        <w:t>いない。本研究では、「ている形」と「た形」の動詞はどのような場面で使用されているかについて分析をこころみた。</w:t>
      </w:r>
    </w:p>
    <w:p w14:paraId="61CC35D5" w14:textId="77777777" w:rsidR="00302E6E" w:rsidRPr="00302E6E" w:rsidRDefault="00302E6E" w:rsidP="00302E6E">
      <w:pPr>
        <w:rPr>
          <w:rFonts w:ascii="ＭＳ 明朝" w:eastAsia="ＭＳ 明朝" w:hAnsi="ＭＳ 明朝"/>
          <w:szCs w:val="21"/>
          <w:lang w:eastAsia="ja-JP"/>
        </w:rPr>
      </w:pPr>
    </w:p>
    <w:p w14:paraId="1F615E6D"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２．「ている」動詞の共起条件</w:t>
      </w:r>
    </w:p>
    <w:p w14:paraId="757045B3"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「～ている」は一般的には進行形とみなされている。だがこれは間違いである。そもそも日本語に「進行形」はない。進行形というかたちは英語独自の言語形式である。日本語の「～ている」は「補助動詞</w:t>
      </w:r>
      <w:r w:rsidRPr="00302E6E">
        <w:rPr>
          <w:rStyle w:val="ae"/>
          <w:rFonts w:ascii="ＭＳ 明朝" w:eastAsia="ＭＳ 明朝" w:hAnsi="ＭＳ 明朝"/>
          <w:szCs w:val="21"/>
        </w:rPr>
        <w:footnoteReference w:id="9"/>
      </w:r>
      <w:r w:rsidRPr="00302E6E">
        <w:rPr>
          <w:rFonts w:ascii="ＭＳ 明朝" w:eastAsia="ＭＳ 明朝" w:hAnsi="ＭＳ 明朝"/>
          <w:szCs w:val="21"/>
        </w:rPr>
        <w:t xml:space="preserve">」のひとつである。英語授業で「現在進行形は～しているにあたる」などと教えるので、こういった間違いが発生している。 </w:t>
      </w:r>
    </w:p>
    <w:p w14:paraId="6F2ED684"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szCs w:val="21"/>
        </w:rPr>
        <w:t>「～ている」の「いる」の本質は「存在」である。あるコトがそこに存在するというのが「～ている」の基本認識である。そして、そのコト（動詞）が「動作」を示すものであれば、その動作がいま存在するのであるから「現在進行中」ということになる。これが「～ている」</w:t>
      </w:r>
      <w:r w:rsidRPr="00302E6E">
        <w:rPr>
          <w:rFonts w:ascii="ＭＳ 明朝" w:eastAsia="ＭＳ 明朝" w:hAnsi="ＭＳ 明朝" w:hint="eastAsia"/>
          <w:szCs w:val="21"/>
        </w:rPr>
        <w:t>すなわち</w:t>
      </w:r>
      <w:r w:rsidRPr="00302E6E">
        <w:rPr>
          <w:rFonts w:ascii="ＭＳ 明朝" w:eastAsia="ＭＳ 明朝" w:hAnsi="ＭＳ 明朝"/>
          <w:szCs w:val="21"/>
        </w:rPr>
        <w:t>現在進行形という意味である。</w:t>
      </w:r>
    </w:p>
    <w:p w14:paraId="72E874C5"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例）あの紬の着物を着ている人は、田中さんです。（もうすでに着物は着ている。着物を着た結果の状態を表している）</w:t>
      </w:r>
    </w:p>
    <w:p w14:paraId="5AD49C4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変化の結果の状態を表わす動詞は、「Nは／が」がさす人やものが変化して、結果を残すタイプの動詞に限られる。開く、閉まる、われる、死ぬ、落ちる、（電気が）つく、消える、とまる、（服を）着る、知る　などである。</w:t>
      </w:r>
    </w:p>
    <w:p w14:paraId="297C539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w:t>
      </w:r>
      <w:r w:rsidRPr="00302E6E">
        <w:rPr>
          <w:rFonts w:ascii="ＭＳ 明朝" w:eastAsia="ＭＳ 明朝" w:hAnsi="ＭＳ 明朝"/>
          <w:szCs w:val="21"/>
        </w:rPr>
        <w:t>彼は死んでいる。</w:t>
      </w:r>
    </w:p>
    <w:p w14:paraId="219FB51A"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動きのくりかえしや、同じ種類の動きがたくさん起きていることを表わすことがある。この場合は、動きを表わす動詞であれば、動詞の種類に制限ではない。</w:t>
      </w:r>
    </w:p>
    <w:p w14:paraId="06F379D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w:t>
      </w:r>
      <w:r w:rsidRPr="00302E6E">
        <w:rPr>
          <w:rFonts w:ascii="ＭＳ 明朝" w:eastAsia="ＭＳ 明朝" w:hAnsi="ＭＳ 明朝"/>
          <w:szCs w:val="21"/>
        </w:rPr>
        <w:t>わたしは毎朝ジョギングをしている。</w:t>
      </w:r>
    </w:p>
    <w:p w14:paraId="45960D50"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過去の経験や記録が存在していることなど、以前に起きたことの影響が残っていることを表わすことがある。</w:t>
      </w:r>
    </w:p>
    <w:p w14:paraId="2889989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w:t>
      </w:r>
      <w:r w:rsidRPr="00302E6E">
        <w:rPr>
          <w:rFonts w:ascii="ＭＳ 明朝" w:eastAsia="ＭＳ 明朝" w:hAnsi="ＭＳ 明朝"/>
          <w:szCs w:val="21"/>
        </w:rPr>
        <w:t>a. 私は３年前アメリカで勉強している。</w:t>
      </w:r>
    </w:p>
    <w:p w14:paraId="41AFD397"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b.（記録を見て）山田さんは10年前に大学を卒業している。</w:t>
      </w:r>
    </w:p>
    <w:p w14:paraId="11550F91"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知らない場合は、「知っていない」とはならず、「知らない」になるので、注意が必要である。</w:t>
      </w:r>
    </w:p>
    <w:p w14:paraId="0742DAA3"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w:t>
      </w:r>
      <w:r w:rsidRPr="00302E6E">
        <w:rPr>
          <w:rFonts w:ascii="ＭＳ 明朝" w:eastAsia="ＭＳ 明朝" w:hAnsi="ＭＳ 明朝"/>
          <w:szCs w:val="21"/>
        </w:rPr>
        <w:t>A：山田先生を知っていますか。</w:t>
      </w:r>
    </w:p>
    <w:p w14:paraId="2ACA521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B：いいえ、知りません。</w:t>
      </w:r>
    </w:p>
    <w:p w14:paraId="2EBC2302"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ものの形などを「Vている」であたかも変化の結果のように述べることがある。</w:t>
      </w:r>
    </w:p>
    <w:p w14:paraId="0297D7BA"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lastRenderedPageBreak/>
        <w:t>この道は曲がっている。</w:t>
      </w:r>
    </w:p>
    <w:p w14:paraId="163B9F70"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「行く」「来る」「帰る」「出かける」は、「ている」で移動の結果、移動先にいるという意味になる。</w:t>
      </w:r>
    </w:p>
    <w:p w14:paraId="08604D41"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例）</w:t>
      </w:r>
      <w:r w:rsidRPr="00302E6E">
        <w:rPr>
          <w:rFonts w:ascii="ＭＳ 明朝" w:eastAsia="ＭＳ 明朝" w:hAnsi="ＭＳ 明朝"/>
          <w:szCs w:val="21"/>
        </w:rPr>
        <w:t>A：もしもし、まりさんはいますか。</w:t>
      </w:r>
    </w:p>
    <w:p w14:paraId="71807E9E"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 xml:space="preserve"> B：いいえ。まりは今買い物に行っています。</w:t>
      </w:r>
    </w:p>
    <w:p w14:paraId="69866297" w14:textId="77777777" w:rsidR="00302E6E" w:rsidRDefault="00302E6E" w:rsidP="00302E6E">
      <w:pPr>
        <w:rPr>
          <w:rFonts w:ascii="ＭＳ 明朝" w:eastAsia="ＭＳ 明朝" w:hAnsi="ＭＳ 明朝"/>
          <w:szCs w:val="21"/>
          <w:lang w:eastAsia="ja-JP"/>
        </w:rPr>
      </w:pPr>
      <w:r w:rsidRPr="00302E6E">
        <w:rPr>
          <w:rFonts w:ascii="ＭＳ 明朝" w:eastAsia="ＭＳ 明朝" w:hAnsi="ＭＳ 明朝"/>
          <w:szCs w:val="21"/>
        </w:rPr>
        <w:t>これらの2-2の英訳には現在進行形は使えない。つまりこれらの「～ている」は、現在進行形ではない。</w:t>
      </w:r>
    </w:p>
    <w:p w14:paraId="723A1CD8" w14:textId="77777777" w:rsidR="00302E6E" w:rsidRPr="00302E6E" w:rsidRDefault="00302E6E" w:rsidP="00302E6E">
      <w:pPr>
        <w:rPr>
          <w:rFonts w:ascii="ＭＳ 明朝" w:eastAsia="ＭＳ 明朝" w:hAnsi="ＭＳ 明朝"/>
          <w:szCs w:val="21"/>
          <w:lang w:eastAsia="ja-JP"/>
        </w:rPr>
      </w:pPr>
    </w:p>
    <w:p w14:paraId="638129F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３．「た」動詞の共起条件</w:t>
      </w:r>
    </w:p>
    <w:p w14:paraId="6D341D9B"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w:t>
      </w:r>
      <w:r w:rsidRPr="00302E6E">
        <w:rPr>
          <w:rFonts w:ascii="ＭＳ 明朝" w:eastAsia="ＭＳ 明朝" w:hAnsi="ＭＳ 明朝"/>
          <w:szCs w:val="21"/>
        </w:rPr>
        <w:t>日本語文法事典』によれば、助動詞タの用法は14個ある。</w:t>
      </w:r>
    </w:p>
    <w:p w14:paraId="0360AF96"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１）</w:t>
      </w:r>
      <w:r w:rsidRPr="00302E6E">
        <w:rPr>
          <w:rFonts w:ascii="ＭＳ 明朝" w:eastAsia="ＭＳ 明朝" w:hAnsi="ＭＳ 明朝"/>
          <w:szCs w:val="21"/>
        </w:rPr>
        <w:t>田中さんならあそこにいたよ。［過去］</w:t>
      </w:r>
    </w:p>
    <w:p w14:paraId="2F3CACBD"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２）</w:t>
      </w:r>
      <w:r w:rsidRPr="00302E6E">
        <w:rPr>
          <w:rFonts w:ascii="ＭＳ 明朝" w:eastAsia="ＭＳ 明朝" w:hAnsi="ＭＳ 明朝"/>
          <w:szCs w:val="21"/>
        </w:rPr>
        <w:t>「昨日田中さん来た？」「いや、来なかった。」［過去］</w:t>
      </w:r>
    </w:p>
    <w:p w14:paraId="45BB9EAF"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３）</w:t>
      </w:r>
      <w:r w:rsidRPr="00302E6E">
        <w:rPr>
          <w:rFonts w:ascii="ＭＳ 明朝" w:eastAsia="ＭＳ 明朝" w:hAnsi="ＭＳ 明朝"/>
          <w:szCs w:val="21"/>
        </w:rPr>
        <w:t>「田中さん（もう）来た？」「いや、まだ来ていない。」［実現済み（完了）］</w:t>
      </w:r>
    </w:p>
    <w:p w14:paraId="49C3791D"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４）</w:t>
      </w:r>
      <w:r w:rsidRPr="00302E6E">
        <w:rPr>
          <w:rFonts w:ascii="ＭＳ 明朝" w:eastAsia="ＭＳ 明朝" w:hAnsi="ＭＳ 明朝"/>
          <w:szCs w:val="21"/>
        </w:rPr>
        <w:t>ピッチャーふりかぶって、第一球、投げました。［実現］</w:t>
      </w:r>
    </w:p>
    <w:p w14:paraId="6B0A29B2"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５）</w:t>
      </w:r>
      <w:r w:rsidRPr="00302E6E">
        <w:rPr>
          <w:rFonts w:ascii="ＭＳ 明朝" w:eastAsia="ＭＳ 明朝" w:hAnsi="ＭＳ 明朝"/>
          <w:szCs w:val="21"/>
        </w:rPr>
        <w:t>あ、（見たら）あった。［発見］</w:t>
      </w:r>
    </w:p>
    <w:p w14:paraId="7FEE7B8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６）</w:t>
      </w:r>
      <w:r w:rsidRPr="00302E6E">
        <w:rPr>
          <w:rFonts w:ascii="ＭＳ 明朝" w:eastAsia="ＭＳ 明朝" w:hAnsi="ＭＳ 明朝"/>
          <w:szCs w:val="21"/>
        </w:rPr>
        <w:t>なんだ、（本当は）ここにいたのか。［認識修正］</w:t>
      </w:r>
    </w:p>
    <w:p w14:paraId="7B0629EE"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７）</w:t>
      </w:r>
      <w:r w:rsidRPr="00302E6E">
        <w:rPr>
          <w:rFonts w:ascii="ＭＳ 明朝" w:eastAsia="ＭＳ 明朝" w:hAnsi="ＭＳ 明朝"/>
          <w:szCs w:val="21"/>
        </w:rPr>
        <w:t>そういえば明日は休みでしたね。［思い出し］、「想起」とも言う</w:t>
      </w:r>
    </w:p>
    <w:p w14:paraId="368396B5"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８）</w:t>
      </w:r>
      <w:r w:rsidRPr="00302E6E">
        <w:rPr>
          <w:rFonts w:ascii="ＭＳ 明朝" w:eastAsia="ＭＳ 明朝" w:hAnsi="ＭＳ 明朝"/>
          <w:szCs w:val="21"/>
        </w:rPr>
        <w:t>昨日手紙を出せば明日届いたのに。［反事実］</w:t>
      </w:r>
    </w:p>
    <w:p w14:paraId="7139725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９）</w:t>
      </w:r>
      <w:r w:rsidRPr="00302E6E">
        <w:rPr>
          <w:rFonts w:ascii="ＭＳ 明朝" w:eastAsia="ＭＳ 明朝" w:hAnsi="ＭＳ 明朝"/>
          <w:szCs w:val="21"/>
        </w:rPr>
        <w:t>こんなことなら明日来るんだった。［後悔］</w:t>
      </w:r>
    </w:p>
    <w:p w14:paraId="43E49CF2"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１０）</w:t>
      </w:r>
      <w:r w:rsidRPr="00302E6E">
        <w:rPr>
          <w:rFonts w:ascii="ＭＳ 明朝" w:eastAsia="ＭＳ 明朝" w:hAnsi="ＭＳ 明朝"/>
          <w:szCs w:val="21"/>
        </w:rPr>
        <w:t>ちょっと待った！［命令］</w:t>
      </w:r>
    </w:p>
    <w:p w14:paraId="3465B6DF"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１１）</w:t>
      </w:r>
      <w:r w:rsidRPr="00302E6E">
        <w:rPr>
          <w:rFonts w:ascii="ＭＳ 明朝" w:eastAsia="ＭＳ 明朝" w:hAnsi="ＭＳ 明朝"/>
          <w:szCs w:val="21"/>
        </w:rPr>
        <w:t>昨日彼からもらった本をなくしてしまった。［発話時以前］</w:t>
      </w:r>
    </w:p>
    <w:p w14:paraId="3D256360"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１２）</w:t>
      </w:r>
      <w:r w:rsidRPr="00302E6E">
        <w:rPr>
          <w:rFonts w:ascii="ＭＳ 明朝" w:eastAsia="ＭＳ 明朝" w:hAnsi="ＭＳ 明朝"/>
          <w:szCs w:val="21"/>
        </w:rPr>
        <w:t>明日勝ったチームが来年の世界大会に出場できる。［主節時以前］</w:t>
      </w:r>
    </w:p>
    <w:p w14:paraId="5E6235F6"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１３）</w:t>
      </w:r>
      <w:r w:rsidRPr="00302E6E">
        <w:rPr>
          <w:rFonts w:ascii="ＭＳ 明朝" w:eastAsia="ＭＳ 明朝" w:hAnsi="ＭＳ 明朝"/>
          <w:szCs w:val="21"/>
        </w:rPr>
        <w:t>まっすぐ伸びた道。［状態］</w:t>
      </w:r>
    </w:p>
    <w:p w14:paraId="78BD0145" w14:textId="77777777" w:rsidR="00302E6E" w:rsidRDefault="00302E6E" w:rsidP="00302E6E">
      <w:pPr>
        <w:rPr>
          <w:rFonts w:ascii="ＭＳ 明朝" w:eastAsia="ＭＳ 明朝" w:hAnsi="ＭＳ 明朝"/>
          <w:szCs w:val="21"/>
          <w:lang w:eastAsia="ja-JP"/>
        </w:rPr>
      </w:pPr>
      <w:r w:rsidRPr="00302E6E">
        <w:rPr>
          <w:rFonts w:ascii="ＭＳ 明朝" w:eastAsia="ＭＳ 明朝" w:hAnsi="ＭＳ 明朝" w:hint="eastAsia"/>
          <w:szCs w:val="21"/>
        </w:rPr>
        <w:t>１４）</w:t>
      </w:r>
      <w:r w:rsidRPr="00302E6E">
        <w:rPr>
          <w:rFonts w:ascii="ＭＳ 明朝" w:eastAsia="ＭＳ 明朝" w:hAnsi="ＭＳ 明朝"/>
          <w:szCs w:val="21"/>
        </w:rPr>
        <w:t>今 100万円あったとします。［仮定］</w:t>
      </w:r>
    </w:p>
    <w:p w14:paraId="3A717CF6" w14:textId="77777777" w:rsidR="00302E6E" w:rsidRPr="00302E6E" w:rsidRDefault="00302E6E" w:rsidP="00302E6E">
      <w:pPr>
        <w:rPr>
          <w:rFonts w:ascii="ＭＳ 明朝" w:eastAsia="ＭＳ 明朝" w:hAnsi="ＭＳ 明朝"/>
          <w:szCs w:val="21"/>
          <w:lang w:eastAsia="ja-JP"/>
        </w:rPr>
      </w:pPr>
    </w:p>
    <w:p w14:paraId="05E6AB4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４．変化を直接知覚</w:t>
      </w:r>
    </w:p>
    <w:p w14:paraId="7D459C54"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「相手の服のボタンがとれているのを見てその相手に言う」という状況で日本語では「 ボタンが落ちた」は不自然で「ボタンが落ちている」が自然であり、日本語では変化を直接知覚しないと「タ形」を使いにくい</w:t>
      </w:r>
      <w:r w:rsidRPr="00302E6E">
        <w:rPr>
          <w:rFonts w:ascii="ＭＳ 明朝" w:eastAsia="ＭＳ 明朝" w:hAnsi="ＭＳ 明朝" w:hint="eastAsia"/>
          <w:szCs w:val="21"/>
        </w:rPr>
        <w:t>の</w:t>
      </w:r>
      <w:r w:rsidRPr="00302E6E">
        <w:rPr>
          <w:rFonts w:ascii="ＭＳ 明朝" w:eastAsia="ＭＳ 明朝" w:hAnsi="ＭＳ 明朝"/>
          <w:szCs w:val="21"/>
        </w:rPr>
        <w:t>である。</w:t>
      </w:r>
    </w:p>
    <w:p w14:paraId="728B450A"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直接知覚</w:t>
      </w:r>
      <w:r w:rsidRPr="00302E6E">
        <w:rPr>
          <w:rFonts w:ascii="ＭＳ 明朝" w:eastAsia="ＭＳ 明朝" w:hAnsi="ＭＳ 明朝" w:hint="eastAsia"/>
          <w:szCs w:val="21"/>
        </w:rPr>
        <w:t>について、秋月（２０１０）は次のように述べている。</w:t>
      </w:r>
    </w:p>
    <w:p w14:paraId="63E47A81"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「変化を直接知覚」するというのには</w:t>
      </w:r>
      <w:r w:rsidRPr="00302E6E">
        <w:rPr>
          <w:rFonts w:ascii="ＭＳ 明朝" w:eastAsia="ＭＳ 明朝" w:hAnsi="ＭＳ 明朝"/>
          <w:szCs w:val="21"/>
        </w:rPr>
        <w:t>2 種類があるという</w:t>
      </w:r>
    </w:p>
    <w:p w14:paraId="4F3C9A07"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・変化が起きたときの様子を話者が見たり聞いたりして直接知覚している</w:t>
      </w:r>
    </w:p>
    <w:p w14:paraId="62EDDF5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 xml:space="preserve">　　　・変化前の状況および変化原因を直接知覚している場合</w:t>
      </w:r>
    </w:p>
    <w:p w14:paraId="5A9E4D3F" w14:textId="77777777" w:rsidR="00302E6E" w:rsidRDefault="00302E6E" w:rsidP="00302E6E">
      <w:pPr>
        <w:rPr>
          <w:rFonts w:ascii="ＭＳ 明朝" w:eastAsia="ＭＳ 明朝" w:hAnsi="ＭＳ 明朝"/>
          <w:szCs w:val="21"/>
          <w:lang w:eastAsia="ja-JP"/>
        </w:rPr>
      </w:pPr>
      <w:r w:rsidRPr="00302E6E">
        <w:rPr>
          <w:rFonts w:ascii="ＭＳ 明朝" w:eastAsia="ＭＳ 明朝" w:hAnsi="ＭＳ 明朝"/>
          <w:szCs w:val="21"/>
        </w:rPr>
        <w:t>つまり、アクションが開始される瞬間によって、「ている形」、または「た形」動詞が使用される。目の前で財布を落とした人に対して「財布、落ちましたよ。」と指摘する場合などが当てはまる。これにしたがって、「財布が落ちているよ。」における「テいる」は、実際には「財布が落ちた」という事実を確認せずとも使用される。どちらの場合も、目の前の事態が「財布が落ちる」というプロセスを経たものであることは認識されているはずである。違うのは、前者は決定的なイベントに焦点をあてて表現しようとしたものであり、後者は</w:t>
      </w:r>
      <w:r w:rsidRPr="00302E6E">
        <w:rPr>
          <w:rFonts w:ascii="ＭＳ 明朝" w:eastAsia="ＭＳ 明朝" w:hAnsi="ＭＳ 明朝" w:hint="eastAsia"/>
          <w:szCs w:val="21"/>
        </w:rPr>
        <w:t>刻下の状態との接触</w:t>
      </w:r>
      <w:r w:rsidRPr="00302E6E">
        <w:rPr>
          <w:rFonts w:ascii="ＭＳ 明朝" w:eastAsia="ＭＳ 明朝" w:hAnsi="ＭＳ 明朝"/>
          <w:szCs w:val="21"/>
        </w:rPr>
        <w:t>を維持しつつ表現しようとしたものであるという点である。</w:t>
      </w:r>
    </w:p>
    <w:p w14:paraId="2ED3B1D3" w14:textId="77777777" w:rsidR="00302E6E" w:rsidRPr="00302E6E" w:rsidRDefault="00302E6E" w:rsidP="00302E6E">
      <w:pPr>
        <w:rPr>
          <w:rFonts w:ascii="ＭＳ 明朝" w:eastAsia="ＭＳ 明朝" w:hAnsi="ＭＳ 明朝"/>
          <w:szCs w:val="21"/>
          <w:lang w:eastAsia="ja-JP"/>
        </w:rPr>
      </w:pPr>
    </w:p>
    <w:p w14:paraId="060643A8"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 xml:space="preserve">５．おわりに　</w:t>
      </w:r>
    </w:p>
    <w:p w14:paraId="395E285F"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szCs w:val="21"/>
        </w:rPr>
        <w:t>本稿では、「ている形」</w:t>
      </w:r>
      <w:r w:rsidRPr="00302E6E">
        <w:rPr>
          <w:rFonts w:ascii="ＭＳ 明朝" w:eastAsia="ＭＳ 明朝" w:hAnsi="ＭＳ 明朝" w:hint="eastAsia"/>
          <w:szCs w:val="21"/>
        </w:rPr>
        <w:t>の動詞の８つ共起条件、「た形」の動詞の１４共起条件についての分析を試みた。</w:t>
      </w:r>
      <w:r w:rsidRPr="00302E6E">
        <w:rPr>
          <w:rFonts w:ascii="ＭＳ 明朝" w:eastAsia="ＭＳ 明朝" w:hAnsi="ＭＳ 明朝"/>
          <w:szCs w:val="21"/>
        </w:rPr>
        <w:t>第</w:t>
      </w:r>
      <w:r w:rsidRPr="00302E6E">
        <w:rPr>
          <w:rFonts w:ascii="ＭＳ 明朝" w:eastAsia="ＭＳ 明朝" w:hAnsi="ＭＳ 明朝" w:hint="eastAsia"/>
          <w:szCs w:val="21"/>
        </w:rPr>
        <w:t>２</w:t>
      </w:r>
      <w:r w:rsidRPr="00302E6E">
        <w:rPr>
          <w:rFonts w:ascii="ＭＳ 明朝" w:eastAsia="ＭＳ 明朝" w:hAnsi="ＭＳ 明朝"/>
          <w:szCs w:val="21"/>
        </w:rPr>
        <w:t>章では</w:t>
      </w:r>
      <w:r w:rsidRPr="00302E6E">
        <w:rPr>
          <w:rFonts w:ascii="ＭＳ 明朝" w:eastAsia="ＭＳ 明朝" w:hAnsi="ＭＳ 明朝" w:hint="eastAsia"/>
          <w:szCs w:val="21"/>
        </w:rPr>
        <w:t>、</w:t>
      </w:r>
      <w:r w:rsidRPr="00302E6E">
        <w:rPr>
          <w:rFonts w:ascii="ＭＳ 明朝" w:eastAsia="ＭＳ 明朝" w:hAnsi="ＭＳ 明朝"/>
          <w:szCs w:val="21"/>
        </w:rPr>
        <w:t>日本語の「ている形」は、英語の現在進行形と一対一対応</w:t>
      </w:r>
      <w:r w:rsidRPr="00302E6E">
        <w:rPr>
          <w:rFonts w:ascii="ＭＳ 明朝" w:eastAsia="ＭＳ 明朝" w:hAnsi="ＭＳ 明朝"/>
          <w:szCs w:val="21"/>
        </w:rPr>
        <w:lastRenderedPageBreak/>
        <w:t>しないことが明らかに</w:t>
      </w:r>
      <w:r w:rsidRPr="00302E6E">
        <w:rPr>
          <w:rFonts w:ascii="ＭＳ 明朝" w:eastAsia="ＭＳ 明朝" w:hAnsi="ＭＳ 明朝" w:hint="eastAsia"/>
          <w:szCs w:val="21"/>
        </w:rPr>
        <w:t>なっ</w:t>
      </w:r>
      <w:r w:rsidRPr="00302E6E">
        <w:rPr>
          <w:rFonts w:ascii="ＭＳ 明朝" w:eastAsia="ＭＳ 明朝" w:hAnsi="ＭＳ 明朝"/>
          <w:szCs w:val="21"/>
        </w:rPr>
        <w:t>た。日本語の「た形」は助動詞であり、過去形という活用形はない。上に示したように、日本語の「タ」と英語の過去形は、過去を表す場合と表さない場合がある。第３章では、「た形」の用法を</w:t>
      </w:r>
      <w:r w:rsidRPr="00302E6E">
        <w:rPr>
          <w:rFonts w:ascii="ＭＳ 明朝" w:eastAsia="ＭＳ 明朝" w:hAnsi="ＭＳ 明朝" w:hint="eastAsia"/>
          <w:szCs w:val="21"/>
        </w:rPr>
        <w:t>１４</w:t>
      </w:r>
      <w:r w:rsidRPr="00302E6E">
        <w:rPr>
          <w:rFonts w:ascii="ＭＳ 明朝" w:eastAsia="ＭＳ 明朝" w:hAnsi="ＭＳ 明朝"/>
          <w:szCs w:val="21"/>
        </w:rPr>
        <w:t>個挙げた。たしかに「た形」の意味の代表的な使用例は「過去を表す」ことだが、その機能は多彩でいつでも過去を表すとは限らないことがわかった。日本語の文法においては、目の前の事態を参照する場合は2 種類にわけられる。一つ目は、変化が起きたときの様子を話者が見たり聞いたりして直接知覚している場合には、「ている形」動詞が使用される。二つ目は、変化前の状況および変化原因を直接知覚している場合には、「た形」動詞が使用される</w:t>
      </w:r>
      <w:r w:rsidRPr="00302E6E">
        <w:rPr>
          <w:rFonts w:ascii="ＭＳ 明朝" w:eastAsia="ＭＳ 明朝" w:hAnsi="ＭＳ 明朝" w:hint="eastAsia"/>
          <w:szCs w:val="21"/>
        </w:rPr>
        <w:t>。</w:t>
      </w:r>
    </w:p>
    <w:p w14:paraId="6C3FA205"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hint="eastAsia"/>
          <w:szCs w:val="21"/>
        </w:rPr>
        <w:t>ここでは、</w:t>
      </w:r>
      <w:r w:rsidRPr="00302E6E">
        <w:rPr>
          <w:rFonts w:ascii="ＭＳ 明朝" w:eastAsia="ＭＳ 明朝" w:hAnsi="ＭＳ 明朝"/>
          <w:szCs w:val="21"/>
        </w:rPr>
        <w:t>変化を直接知覚</w:t>
      </w:r>
      <w:r w:rsidRPr="00302E6E">
        <w:rPr>
          <w:rFonts w:ascii="ＭＳ 明朝" w:eastAsia="ＭＳ 明朝" w:hAnsi="ＭＳ 明朝" w:hint="eastAsia"/>
          <w:szCs w:val="21"/>
        </w:rPr>
        <w:t>の観点から動詞を検討したが、外国語から日本語に通訳するときには</w:t>
      </w:r>
      <w:r w:rsidRPr="00302E6E">
        <w:rPr>
          <w:rFonts w:ascii="ＭＳ 明朝" w:eastAsia="ＭＳ 明朝" w:hAnsi="ＭＳ 明朝"/>
          <w:szCs w:val="21"/>
        </w:rPr>
        <w:t>直接知覚</w:t>
      </w:r>
      <w:r w:rsidRPr="00302E6E">
        <w:rPr>
          <w:rFonts w:ascii="ＭＳ 明朝" w:eastAsia="ＭＳ 明朝" w:hAnsi="ＭＳ 明朝" w:hint="eastAsia"/>
          <w:szCs w:val="21"/>
        </w:rPr>
        <w:t>でなく、間接知覚にすることが多い。間接知覚とは、「知覚とは、環境からやってくるデータにたいして、心が何らかの処理をくわえ る過程である。したがって、わたしたちは環境を直接に知覚するものではない」（佐藤、２０１２）。間接知覚の観点から</w:t>
      </w:r>
      <w:r w:rsidRPr="00302E6E">
        <w:rPr>
          <w:rFonts w:ascii="ＭＳ 明朝" w:eastAsia="ＭＳ 明朝" w:hAnsi="ＭＳ 明朝"/>
          <w:szCs w:val="21"/>
        </w:rPr>
        <w:t>「ている形」</w:t>
      </w:r>
      <w:r w:rsidRPr="00302E6E">
        <w:rPr>
          <w:rFonts w:ascii="ＭＳ 明朝" w:eastAsia="ＭＳ 明朝" w:hAnsi="ＭＳ 明朝" w:hint="eastAsia"/>
          <w:szCs w:val="21"/>
        </w:rPr>
        <w:t>と</w:t>
      </w:r>
      <w:r w:rsidRPr="00302E6E">
        <w:rPr>
          <w:rFonts w:ascii="ＭＳ 明朝" w:eastAsia="ＭＳ 明朝" w:hAnsi="ＭＳ 明朝"/>
          <w:szCs w:val="21"/>
        </w:rPr>
        <w:t>「た形」</w:t>
      </w:r>
      <w:r w:rsidRPr="00302E6E">
        <w:rPr>
          <w:rFonts w:ascii="ＭＳ 明朝" w:eastAsia="ＭＳ 明朝" w:hAnsi="ＭＳ 明朝" w:hint="eastAsia"/>
          <w:szCs w:val="21"/>
        </w:rPr>
        <w:t>動詞を検討し、通訳するときのこの動詞の差異については今後の研究課題としたい。</w:t>
      </w:r>
    </w:p>
    <w:p w14:paraId="60378E07"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hint="eastAsia"/>
          <w:szCs w:val="21"/>
        </w:rPr>
        <w:t xml:space="preserve">　　</w:t>
      </w:r>
    </w:p>
    <w:p w14:paraId="4E509841"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参考文献</w:t>
      </w:r>
    </w:p>
    <w:p w14:paraId="04EDDD2B"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hint="eastAsia"/>
          <w:szCs w:val="21"/>
        </w:rPr>
        <w:t>秋月康夫（</w:t>
      </w:r>
      <w:r w:rsidRPr="00302E6E">
        <w:rPr>
          <w:rFonts w:ascii="ＭＳ 明朝" w:eastAsia="ＭＳ 明朝" w:hAnsi="ＭＳ 明朝"/>
          <w:szCs w:val="21"/>
        </w:rPr>
        <w:t>2010</w:t>
      </w:r>
      <w:r w:rsidRPr="00302E6E">
        <w:rPr>
          <w:rFonts w:ascii="ＭＳ 明朝" w:eastAsia="ＭＳ 明朝" w:hAnsi="ＭＳ 明朝" w:hint="eastAsia"/>
          <w:szCs w:val="21"/>
        </w:rPr>
        <w:t>）「テいる」と「テいた」の叙想性について</w:t>
      </w:r>
    </w:p>
    <w:p w14:paraId="344A6F26"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国立国語研究所（2001）『日本語教育指導参考書22　日本語教育のための文法用語』財務省印刷局</w:t>
      </w:r>
    </w:p>
    <w:p w14:paraId="2696C4F2"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hint="eastAsia"/>
          <w:szCs w:val="21"/>
        </w:rPr>
        <w:t>佐藤手織（</w:t>
      </w:r>
      <w:r w:rsidRPr="00302E6E">
        <w:rPr>
          <w:rFonts w:ascii="ＭＳ 明朝" w:eastAsia="ＭＳ 明朝" w:hAnsi="ＭＳ 明朝"/>
          <w:szCs w:val="21"/>
        </w:rPr>
        <w:t>2012</w:t>
      </w:r>
      <w:r w:rsidRPr="00302E6E">
        <w:rPr>
          <w:rFonts w:ascii="ＭＳ 明朝" w:eastAsia="ＭＳ 明朝" w:hAnsi="ＭＳ 明朝" w:hint="eastAsia"/>
          <w:szCs w:val="21"/>
        </w:rPr>
        <w:t>）間接知覚論への親和性と向性との関連性</w:t>
      </w:r>
    </w:p>
    <w:p w14:paraId="010E3DFA"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金水敏（2015）「日本語文法の諸相：時間表現」、月本雅幸『日本語概説』放送大学教育振興会</w:t>
      </w:r>
    </w:p>
    <w:p w14:paraId="1A6C4CEE"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はんざわかんいち（2015）［ことばのことばかり13］「ありがタめいわく」、『日本語学』2015年4月号: 45、明治書院</w:t>
      </w:r>
    </w:p>
    <w:p w14:paraId="47D00746" w14:textId="77777777" w:rsidR="00302E6E" w:rsidRPr="00302E6E" w:rsidRDefault="00302E6E" w:rsidP="00302E6E">
      <w:pPr>
        <w:ind w:firstLine="285"/>
        <w:rPr>
          <w:rFonts w:ascii="ＭＳ 明朝" w:eastAsia="ＭＳ 明朝" w:hAnsi="ＭＳ 明朝"/>
          <w:szCs w:val="21"/>
        </w:rPr>
      </w:pPr>
      <w:proofErr w:type="spellStart"/>
      <w:r w:rsidRPr="00302E6E">
        <w:rPr>
          <w:rFonts w:ascii="ＭＳ 明朝" w:eastAsia="ＭＳ 明朝" w:hAnsi="ＭＳ 明朝"/>
          <w:szCs w:val="21"/>
        </w:rPr>
        <w:t>Lakoff</w:t>
      </w:r>
      <w:proofErr w:type="spellEnd"/>
      <w:r w:rsidRPr="00302E6E">
        <w:rPr>
          <w:rFonts w:ascii="ＭＳ 明朝" w:eastAsia="ＭＳ 明朝" w:hAnsi="ＭＳ 明朝"/>
          <w:szCs w:val="21"/>
        </w:rPr>
        <w:t>, R. (1970)“Tense and Its Relation to Participants，” Language 46, 838-849.</w:t>
      </w:r>
    </w:p>
    <w:p w14:paraId="12B3F258"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Leech, G. N. (1987) Meaning and the English Verb，Longman, London.</w:t>
      </w:r>
    </w:p>
    <w:p w14:paraId="1C64D70A" w14:textId="77777777" w:rsidR="00302E6E" w:rsidRPr="00302E6E" w:rsidRDefault="00302E6E" w:rsidP="00302E6E">
      <w:pPr>
        <w:ind w:firstLine="285"/>
        <w:rPr>
          <w:rFonts w:ascii="ＭＳ 明朝" w:eastAsia="ＭＳ 明朝" w:hAnsi="ＭＳ 明朝"/>
          <w:szCs w:val="21"/>
        </w:rPr>
      </w:pPr>
      <w:r w:rsidRPr="00302E6E">
        <w:rPr>
          <w:rFonts w:ascii="ＭＳ 明朝" w:eastAsia="ＭＳ 明朝" w:hAnsi="ＭＳ 明朝"/>
          <w:szCs w:val="21"/>
        </w:rPr>
        <w:t>Quirk, R., (1972) A Grammar of Contemporary English, Longman, London.</w:t>
      </w:r>
    </w:p>
    <w:p w14:paraId="639A4F88" w14:textId="77777777" w:rsidR="00302E6E" w:rsidRPr="00302E6E" w:rsidRDefault="00302E6E" w:rsidP="00302E6E">
      <w:pPr>
        <w:ind w:firstLine="285"/>
        <w:rPr>
          <w:rFonts w:ascii="ＭＳ 明朝" w:eastAsia="ＭＳ 明朝" w:hAnsi="ＭＳ 明朝"/>
          <w:szCs w:val="21"/>
        </w:rPr>
      </w:pPr>
    </w:p>
    <w:p w14:paraId="31E9F763" w14:textId="77777777" w:rsidR="00302E6E" w:rsidRDefault="00302E6E" w:rsidP="00302E6E">
      <w:pPr>
        <w:ind w:firstLine="285"/>
        <w:rPr>
          <w:rFonts w:ascii="ＭＳ 明朝" w:eastAsia="ＭＳ 明朝" w:hAnsi="ＭＳ 明朝"/>
          <w:sz w:val="24"/>
          <w:szCs w:val="24"/>
          <w:lang w:eastAsia="ja-JP"/>
        </w:rPr>
      </w:pPr>
    </w:p>
    <w:p w14:paraId="0A59B7EF" w14:textId="77777777" w:rsidR="00302E6E" w:rsidRDefault="00302E6E" w:rsidP="00302E6E">
      <w:pPr>
        <w:ind w:firstLine="285"/>
        <w:rPr>
          <w:rFonts w:ascii="ＭＳ 明朝" w:eastAsia="ＭＳ 明朝" w:hAnsi="ＭＳ 明朝"/>
          <w:sz w:val="24"/>
          <w:szCs w:val="24"/>
          <w:lang w:eastAsia="ja-JP"/>
        </w:rPr>
      </w:pPr>
    </w:p>
    <w:p w14:paraId="2EF1FBDB" w14:textId="77777777" w:rsidR="00302E6E" w:rsidRDefault="00302E6E" w:rsidP="00302E6E">
      <w:pPr>
        <w:ind w:firstLine="285"/>
        <w:rPr>
          <w:rFonts w:ascii="ＭＳ 明朝" w:eastAsia="ＭＳ 明朝" w:hAnsi="ＭＳ 明朝"/>
          <w:sz w:val="24"/>
          <w:szCs w:val="24"/>
          <w:lang w:eastAsia="ja-JP"/>
        </w:rPr>
      </w:pPr>
    </w:p>
    <w:p w14:paraId="1457C499" w14:textId="77777777" w:rsidR="00302E6E" w:rsidRDefault="00302E6E" w:rsidP="00302E6E">
      <w:pPr>
        <w:ind w:firstLine="285"/>
        <w:rPr>
          <w:rFonts w:ascii="ＭＳ 明朝" w:eastAsia="ＭＳ 明朝" w:hAnsi="ＭＳ 明朝"/>
          <w:sz w:val="24"/>
          <w:szCs w:val="24"/>
          <w:lang w:eastAsia="ja-JP"/>
        </w:rPr>
      </w:pPr>
    </w:p>
    <w:p w14:paraId="061DD25D" w14:textId="77777777" w:rsidR="00302E6E" w:rsidRDefault="00302E6E" w:rsidP="00302E6E">
      <w:pPr>
        <w:ind w:firstLine="285"/>
        <w:rPr>
          <w:rFonts w:ascii="ＭＳ 明朝" w:eastAsia="ＭＳ 明朝" w:hAnsi="ＭＳ 明朝"/>
          <w:sz w:val="24"/>
          <w:szCs w:val="24"/>
          <w:lang w:eastAsia="ja-JP"/>
        </w:rPr>
      </w:pPr>
    </w:p>
    <w:p w14:paraId="411BF6C7" w14:textId="77777777" w:rsidR="00302E6E" w:rsidRDefault="00302E6E" w:rsidP="00302E6E">
      <w:pPr>
        <w:ind w:firstLine="285"/>
        <w:rPr>
          <w:rFonts w:ascii="ＭＳ 明朝" w:eastAsia="ＭＳ 明朝" w:hAnsi="ＭＳ 明朝"/>
          <w:sz w:val="24"/>
          <w:szCs w:val="24"/>
          <w:lang w:eastAsia="ja-JP"/>
        </w:rPr>
      </w:pPr>
    </w:p>
    <w:p w14:paraId="68D70496" w14:textId="77777777" w:rsidR="00302E6E" w:rsidRDefault="00302E6E" w:rsidP="00302E6E">
      <w:pPr>
        <w:ind w:firstLine="285"/>
        <w:rPr>
          <w:rFonts w:ascii="ＭＳ 明朝" w:eastAsia="ＭＳ 明朝" w:hAnsi="ＭＳ 明朝"/>
          <w:sz w:val="24"/>
          <w:szCs w:val="24"/>
          <w:lang w:eastAsia="ja-JP"/>
        </w:rPr>
      </w:pPr>
    </w:p>
    <w:p w14:paraId="1BD7D599" w14:textId="77777777" w:rsidR="00302E6E" w:rsidRDefault="00302E6E" w:rsidP="00302E6E">
      <w:pPr>
        <w:ind w:firstLine="285"/>
        <w:rPr>
          <w:rFonts w:ascii="ＭＳ 明朝" w:eastAsia="ＭＳ 明朝" w:hAnsi="ＭＳ 明朝"/>
          <w:sz w:val="24"/>
          <w:szCs w:val="24"/>
          <w:lang w:eastAsia="ja-JP"/>
        </w:rPr>
      </w:pPr>
    </w:p>
    <w:p w14:paraId="4229FFA9" w14:textId="77777777" w:rsidR="00302E6E" w:rsidRDefault="00302E6E" w:rsidP="00302E6E">
      <w:pPr>
        <w:ind w:firstLine="285"/>
        <w:rPr>
          <w:rFonts w:ascii="ＭＳ 明朝" w:eastAsia="ＭＳ 明朝" w:hAnsi="ＭＳ 明朝"/>
          <w:sz w:val="24"/>
          <w:szCs w:val="24"/>
          <w:lang w:eastAsia="ja-JP"/>
        </w:rPr>
      </w:pPr>
    </w:p>
    <w:p w14:paraId="6041CF42" w14:textId="77777777" w:rsidR="00302E6E" w:rsidRDefault="00302E6E" w:rsidP="00302E6E">
      <w:pPr>
        <w:ind w:firstLine="285"/>
        <w:rPr>
          <w:rFonts w:ascii="ＭＳ 明朝" w:eastAsia="ＭＳ 明朝" w:hAnsi="ＭＳ 明朝"/>
          <w:sz w:val="24"/>
          <w:szCs w:val="24"/>
          <w:lang w:eastAsia="ja-JP"/>
        </w:rPr>
      </w:pPr>
    </w:p>
    <w:p w14:paraId="57B90126" w14:textId="77777777" w:rsidR="00302E6E" w:rsidRDefault="00302E6E" w:rsidP="00302E6E">
      <w:pPr>
        <w:ind w:firstLine="285"/>
        <w:rPr>
          <w:rFonts w:ascii="ＭＳ 明朝" w:eastAsia="ＭＳ 明朝" w:hAnsi="ＭＳ 明朝"/>
          <w:sz w:val="24"/>
          <w:szCs w:val="24"/>
          <w:lang w:eastAsia="ja-JP"/>
        </w:rPr>
      </w:pPr>
    </w:p>
    <w:p w14:paraId="6F6DF767" w14:textId="77777777" w:rsidR="00302E6E" w:rsidRDefault="00302E6E" w:rsidP="00302E6E">
      <w:pPr>
        <w:ind w:firstLine="285"/>
        <w:rPr>
          <w:rFonts w:ascii="ＭＳ 明朝" w:eastAsia="ＭＳ 明朝" w:hAnsi="ＭＳ 明朝"/>
          <w:sz w:val="24"/>
          <w:szCs w:val="24"/>
          <w:lang w:eastAsia="ja-JP"/>
        </w:rPr>
      </w:pPr>
    </w:p>
    <w:p w14:paraId="68B91A22" w14:textId="77777777" w:rsidR="00302E6E" w:rsidRDefault="00302E6E" w:rsidP="00302E6E">
      <w:pPr>
        <w:ind w:firstLine="285"/>
        <w:rPr>
          <w:rFonts w:ascii="ＭＳ 明朝" w:eastAsia="ＭＳ 明朝" w:hAnsi="ＭＳ 明朝"/>
          <w:sz w:val="24"/>
          <w:szCs w:val="24"/>
          <w:lang w:eastAsia="ja-JP"/>
        </w:rPr>
      </w:pPr>
    </w:p>
    <w:p w14:paraId="202C83F6" w14:textId="77777777" w:rsidR="00302E6E" w:rsidRDefault="00302E6E" w:rsidP="00302E6E">
      <w:pPr>
        <w:ind w:firstLine="285"/>
        <w:rPr>
          <w:rFonts w:ascii="ＭＳ 明朝" w:eastAsia="ＭＳ 明朝" w:hAnsi="ＭＳ 明朝"/>
          <w:sz w:val="24"/>
          <w:szCs w:val="24"/>
          <w:lang w:eastAsia="ja-JP"/>
        </w:rPr>
      </w:pPr>
    </w:p>
    <w:p w14:paraId="66CF46A3" w14:textId="77777777" w:rsidR="00302E6E" w:rsidRDefault="00302E6E" w:rsidP="00302E6E">
      <w:pPr>
        <w:ind w:firstLine="285"/>
        <w:rPr>
          <w:rFonts w:ascii="ＭＳ 明朝" w:eastAsia="ＭＳ 明朝" w:hAnsi="ＭＳ 明朝"/>
          <w:sz w:val="24"/>
          <w:szCs w:val="24"/>
          <w:lang w:eastAsia="ja-JP"/>
        </w:rPr>
      </w:pPr>
    </w:p>
    <w:p w14:paraId="77C468C7" w14:textId="77777777" w:rsidR="00302E6E" w:rsidRPr="00302E6E" w:rsidRDefault="00302E6E" w:rsidP="008C6DFD">
      <w:pPr>
        <w:jc w:val="center"/>
        <w:rPr>
          <w:rFonts w:ascii="ＭＳ 明朝" w:eastAsia="ＭＳ 明朝" w:hAnsi="ＭＳ 明朝"/>
          <w:sz w:val="24"/>
          <w:szCs w:val="24"/>
        </w:rPr>
      </w:pPr>
      <w:r w:rsidRPr="00302E6E">
        <w:rPr>
          <w:rFonts w:ascii="ＭＳ 明朝" w:eastAsia="ＭＳ 明朝" w:hAnsi="ＭＳ 明朝" w:hint="eastAsia"/>
          <w:sz w:val="24"/>
          <w:szCs w:val="24"/>
        </w:rPr>
        <w:lastRenderedPageBreak/>
        <w:t>ウズベキスタンの学校における</w:t>
      </w:r>
      <w:r w:rsidRPr="00302E6E">
        <w:rPr>
          <w:rFonts w:ascii="ＭＳ 明朝" w:eastAsia="ＭＳ 明朝" w:hAnsi="ＭＳ 明朝"/>
          <w:sz w:val="24"/>
          <w:szCs w:val="24"/>
        </w:rPr>
        <w:t>社会的排除</w:t>
      </w:r>
      <w:r w:rsidRPr="00302E6E">
        <w:rPr>
          <w:rFonts w:ascii="ＭＳ 明朝" w:eastAsia="ＭＳ 明朝" w:hAnsi="ＭＳ 明朝" w:hint="eastAsia"/>
          <w:sz w:val="24"/>
          <w:szCs w:val="24"/>
        </w:rPr>
        <w:t>の原因</w:t>
      </w:r>
    </w:p>
    <w:p w14:paraId="44F49600" w14:textId="77777777" w:rsidR="00302E6E" w:rsidRPr="00302E6E" w:rsidRDefault="00302E6E" w:rsidP="00302E6E">
      <w:pPr>
        <w:jc w:val="right"/>
        <w:rPr>
          <w:rFonts w:ascii="ＭＳ 明朝" w:eastAsia="ＭＳ 明朝" w:hAnsi="ＭＳ 明朝"/>
          <w:szCs w:val="21"/>
        </w:rPr>
      </w:pPr>
      <w:r w:rsidRPr="00302E6E">
        <w:rPr>
          <w:rFonts w:ascii="ＭＳ 明朝" w:eastAsia="ＭＳ 明朝" w:hAnsi="ＭＳ 明朝"/>
          <w:szCs w:val="21"/>
        </w:rPr>
        <w:t>朴オリガ</w:t>
      </w:r>
    </w:p>
    <w:p w14:paraId="762B53A4"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１．はじめに</w:t>
      </w:r>
    </w:p>
    <w:p w14:paraId="7734AC04" w14:textId="77777777" w:rsidR="00302E6E" w:rsidRDefault="00302E6E" w:rsidP="00302E6E">
      <w:pPr>
        <w:ind w:firstLine="210"/>
        <w:rPr>
          <w:rFonts w:ascii="ＭＳ 明朝" w:eastAsia="ＭＳ 明朝" w:hAnsi="ＭＳ 明朝"/>
          <w:szCs w:val="21"/>
          <w:lang w:eastAsia="ja-JP"/>
        </w:rPr>
      </w:pPr>
      <w:r w:rsidRPr="00302E6E">
        <w:rPr>
          <w:rFonts w:ascii="ＭＳ 明朝" w:eastAsia="ＭＳ 明朝" w:hAnsi="ＭＳ 明朝"/>
          <w:szCs w:val="21"/>
        </w:rPr>
        <w:t>最近</w:t>
      </w:r>
      <w:r w:rsidRPr="00302E6E">
        <w:rPr>
          <w:rFonts w:ascii="ＭＳ 明朝" w:eastAsia="ＭＳ 明朝" w:hAnsi="ＭＳ 明朝" w:hint="eastAsia"/>
          <w:szCs w:val="21"/>
        </w:rPr>
        <w:t>ウズベキスタンの</w:t>
      </w:r>
      <w:r w:rsidRPr="00302E6E">
        <w:rPr>
          <w:rFonts w:ascii="ＭＳ 明朝" w:eastAsia="ＭＳ 明朝" w:hAnsi="ＭＳ 明朝"/>
          <w:szCs w:val="21"/>
        </w:rPr>
        <w:t>学校におけるいじめの問題が深刻化している。いじめとは、自分より弱い相手を苦しめることである。社会的排除とは、端的には「理由の如何を問わず個人（集団）が社会から疎外されている状態」と理解されることである。排除されている人は誰にも助けてもらえず、弱い人だと思われるので、いじめられやすくなる。つまり、いじめが排除の現象であるという指摘は現在ほぼ自明のものとして受け入れられている。</w:t>
      </w:r>
      <w:r w:rsidRPr="00302E6E">
        <w:rPr>
          <w:rFonts w:ascii="ＭＳ 明朝" w:eastAsia="ＭＳ 明朝" w:hAnsi="ＭＳ 明朝" w:hint="eastAsia"/>
          <w:szCs w:val="21"/>
        </w:rPr>
        <w:t>なぜ人は排除されるのだろう。世界中の心理学者の考察で</w:t>
      </w:r>
      <w:r w:rsidRPr="00302E6E">
        <w:rPr>
          <w:rFonts w:ascii="ＭＳ 明朝" w:eastAsia="ＭＳ 明朝" w:hAnsi="ＭＳ 明朝"/>
          <w:szCs w:val="21"/>
        </w:rPr>
        <w:t>社会的排除の主な原因</w:t>
      </w:r>
      <w:r w:rsidRPr="00302E6E">
        <w:rPr>
          <w:rFonts w:ascii="ＭＳ 明朝" w:eastAsia="ＭＳ 明朝" w:hAnsi="ＭＳ 明朝" w:hint="eastAsia"/>
          <w:szCs w:val="21"/>
        </w:rPr>
        <w:t>については</w:t>
      </w:r>
      <w:r w:rsidRPr="00302E6E">
        <w:rPr>
          <w:rFonts w:ascii="ＭＳ 明朝" w:eastAsia="ＭＳ 明朝" w:hAnsi="ＭＳ 明朝"/>
          <w:szCs w:val="21"/>
        </w:rPr>
        <w:t>貧困</w:t>
      </w:r>
      <w:r w:rsidRPr="00302E6E">
        <w:rPr>
          <w:rFonts w:ascii="ＭＳ 明朝" w:eastAsia="ＭＳ 明朝" w:hAnsi="ＭＳ 明朝" w:hint="eastAsia"/>
          <w:szCs w:val="21"/>
        </w:rPr>
        <w:t>が報告されている。エストニアの社会民主党の議長、ピクホフ・ハロの検討によって、大勢のクラスメートが持っているものを購入できない子供はいじめられていることが明らかになった。ヨーク大学の教授、フランク・バトル・トラストによると、</w:t>
      </w:r>
      <w:r w:rsidRPr="00302E6E">
        <w:rPr>
          <w:rFonts w:ascii="ＭＳ 明朝" w:eastAsia="ＭＳ 明朝" w:hAnsi="ＭＳ 明朝"/>
          <w:szCs w:val="21"/>
        </w:rPr>
        <w:t>貧困</w:t>
      </w:r>
      <w:r w:rsidRPr="00302E6E">
        <w:rPr>
          <w:rFonts w:ascii="ＭＳ 明朝" w:eastAsia="ＭＳ 明朝" w:hAnsi="ＭＳ 明朝" w:hint="eastAsia"/>
          <w:szCs w:val="21"/>
        </w:rPr>
        <w:t>な家庭の子供たちは汚れていると言われているので、しばしばいじめられている。ロシアの心理学者、アレクセバ・イリナの研究で、貧困の家庭の子供は自分自信がないので、いじめられることが明らかになっている。</w:t>
      </w:r>
      <w:r w:rsidRPr="00302E6E">
        <w:rPr>
          <w:rFonts w:ascii="ＭＳ 明朝" w:eastAsia="ＭＳ 明朝" w:hAnsi="ＭＳ 明朝"/>
          <w:szCs w:val="21"/>
        </w:rPr>
        <w:t>しかし、裕福な子供も排除されることがあり、貧困以外の社会的排除の原因</w:t>
      </w:r>
      <w:r w:rsidRPr="00302E6E">
        <w:rPr>
          <w:rFonts w:ascii="ＭＳ 明朝" w:eastAsia="ＭＳ 明朝" w:hAnsi="ＭＳ 明朝" w:hint="eastAsia"/>
          <w:szCs w:val="21"/>
        </w:rPr>
        <w:t>もあるはずだと主張する。</w:t>
      </w:r>
      <w:r w:rsidRPr="00302E6E">
        <w:rPr>
          <w:rFonts w:ascii="ＭＳ 明朝" w:eastAsia="ＭＳ 明朝" w:hAnsi="ＭＳ 明朝"/>
          <w:szCs w:val="21"/>
        </w:rPr>
        <w:t>本研究</w:t>
      </w:r>
      <w:r w:rsidRPr="00302E6E">
        <w:rPr>
          <w:rFonts w:ascii="ＭＳ 明朝" w:eastAsia="ＭＳ 明朝" w:hAnsi="ＭＳ 明朝" w:hint="eastAsia"/>
          <w:szCs w:val="21"/>
        </w:rPr>
        <w:t>で</w:t>
      </w:r>
      <w:r w:rsidRPr="00302E6E">
        <w:rPr>
          <w:rFonts w:ascii="ＭＳ 明朝" w:eastAsia="ＭＳ 明朝" w:hAnsi="ＭＳ 明朝"/>
          <w:szCs w:val="21"/>
        </w:rPr>
        <w:t>は</w:t>
      </w:r>
      <w:r w:rsidRPr="00302E6E">
        <w:rPr>
          <w:rFonts w:ascii="ＭＳ 明朝" w:eastAsia="ＭＳ 明朝" w:hAnsi="ＭＳ 明朝" w:hint="eastAsia"/>
          <w:szCs w:val="21"/>
        </w:rPr>
        <w:t>、ウズベキスタンの学校における</w:t>
      </w:r>
      <w:r w:rsidRPr="00302E6E">
        <w:rPr>
          <w:rFonts w:ascii="ＭＳ 明朝" w:eastAsia="ＭＳ 明朝" w:hAnsi="ＭＳ 明朝"/>
          <w:szCs w:val="21"/>
        </w:rPr>
        <w:t>貧困以外の社会的排除の原因を解明する</w:t>
      </w:r>
      <w:r w:rsidRPr="00302E6E">
        <w:rPr>
          <w:rFonts w:ascii="ＭＳ 明朝" w:eastAsia="ＭＳ 明朝" w:hAnsi="ＭＳ 明朝" w:hint="eastAsia"/>
          <w:szCs w:val="21"/>
        </w:rPr>
        <w:t>ために、</w:t>
      </w:r>
      <w:r w:rsidRPr="00302E6E">
        <w:rPr>
          <w:rFonts w:ascii="ＭＳ 明朝" w:eastAsia="ＭＳ 明朝" w:hAnsi="ＭＳ 明朝"/>
          <w:szCs w:val="21"/>
        </w:rPr>
        <w:t>排除される</w:t>
      </w:r>
      <w:r w:rsidRPr="00302E6E">
        <w:rPr>
          <w:rFonts w:ascii="ＭＳ 明朝" w:eastAsia="ＭＳ 明朝" w:hAnsi="ＭＳ 明朝" w:hint="eastAsia"/>
          <w:szCs w:val="21"/>
        </w:rPr>
        <w:t>生徒</w:t>
      </w:r>
      <w:r w:rsidRPr="00302E6E">
        <w:rPr>
          <w:rFonts w:ascii="ＭＳ 明朝" w:eastAsia="ＭＳ 明朝" w:hAnsi="ＭＳ 明朝"/>
          <w:szCs w:val="21"/>
        </w:rPr>
        <w:t>の特徴</w:t>
      </w:r>
      <w:r w:rsidRPr="00302E6E">
        <w:rPr>
          <w:rFonts w:ascii="ＭＳ 明朝" w:eastAsia="ＭＳ 明朝" w:hAnsi="ＭＳ 明朝" w:hint="eastAsia"/>
          <w:szCs w:val="21"/>
        </w:rPr>
        <w:t>を分析を行った。</w:t>
      </w:r>
    </w:p>
    <w:p w14:paraId="623F3595" w14:textId="77777777" w:rsidR="00302E6E" w:rsidRPr="00302E6E" w:rsidRDefault="00302E6E" w:rsidP="00302E6E">
      <w:pPr>
        <w:ind w:firstLine="210"/>
        <w:rPr>
          <w:rFonts w:ascii="ＭＳ 明朝" w:eastAsia="ＭＳ 明朝" w:hAnsi="ＭＳ 明朝"/>
          <w:szCs w:val="21"/>
          <w:lang w:eastAsia="ja-JP"/>
        </w:rPr>
      </w:pPr>
    </w:p>
    <w:p w14:paraId="3AB815CE"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２．学校の社会的排除の実態</w:t>
      </w:r>
    </w:p>
    <w:p w14:paraId="43295F85" w14:textId="77777777" w:rsidR="00302E6E" w:rsidRDefault="00302E6E" w:rsidP="00302E6E">
      <w:pPr>
        <w:ind w:firstLine="210"/>
        <w:rPr>
          <w:rFonts w:ascii="ＭＳ 明朝" w:eastAsia="ＭＳ 明朝" w:hAnsi="ＭＳ 明朝"/>
          <w:szCs w:val="21"/>
          <w:lang w:eastAsia="ja-JP"/>
        </w:rPr>
      </w:pPr>
      <w:r w:rsidRPr="00302E6E">
        <w:rPr>
          <w:rFonts w:ascii="ＭＳ 明朝" w:eastAsia="ＭＳ 明朝" w:hAnsi="ＭＳ 明朝" w:hint="eastAsia"/>
          <w:szCs w:val="21"/>
        </w:rPr>
        <w:t>ここでは、</w:t>
      </w:r>
      <w:r w:rsidRPr="00302E6E">
        <w:rPr>
          <w:rFonts w:ascii="ＭＳ 明朝" w:eastAsia="ＭＳ 明朝" w:hAnsi="ＭＳ 明朝"/>
          <w:szCs w:val="21"/>
        </w:rPr>
        <w:t>犯罪防止局</w:t>
      </w:r>
      <w:r w:rsidRPr="00302E6E">
        <w:rPr>
          <w:rFonts w:ascii="ＭＳ 明朝" w:eastAsia="ＭＳ 明朝" w:hAnsi="ＭＳ 明朝" w:hint="eastAsia"/>
          <w:szCs w:val="21"/>
        </w:rPr>
        <w:t>のレビューを参考にしながら、</w:t>
      </w:r>
      <w:r w:rsidRPr="00302E6E">
        <w:rPr>
          <w:rFonts w:ascii="ＭＳ 明朝" w:eastAsia="ＭＳ 明朝" w:hAnsi="ＭＳ 明朝"/>
          <w:szCs w:val="21"/>
        </w:rPr>
        <w:t>ウズベキスタンの</w:t>
      </w:r>
      <w:r w:rsidRPr="00302E6E">
        <w:rPr>
          <w:rFonts w:ascii="ＭＳ 明朝" w:eastAsia="ＭＳ 明朝" w:hAnsi="ＭＳ 明朝" w:hint="eastAsia"/>
          <w:szCs w:val="21"/>
        </w:rPr>
        <w:t>学校の実態を述べる。現在、</w:t>
      </w:r>
      <w:r w:rsidRPr="00302E6E">
        <w:rPr>
          <w:rFonts w:ascii="ＭＳ 明朝" w:eastAsia="ＭＳ 明朝" w:hAnsi="ＭＳ 明朝"/>
          <w:szCs w:val="21"/>
        </w:rPr>
        <w:t>ウズベキスタンの</w:t>
      </w:r>
      <w:r w:rsidRPr="00302E6E">
        <w:rPr>
          <w:rFonts w:ascii="ＭＳ 明朝" w:eastAsia="ＭＳ 明朝" w:hAnsi="ＭＳ 明朝" w:hint="eastAsia"/>
          <w:szCs w:val="21"/>
        </w:rPr>
        <w:t>高等学校</w:t>
      </w:r>
      <w:r w:rsidRPr="00302E6E">
        <w:rPr>
          <w:rFonts w:ascii="ＭＳ 明朝" w:eastAsia="ＭＳ 明朝" w:hAnsi="ＭＳ 明朝"/>
          <w:szCs w:val="21"/>
        </w:rPr>
        <w:t>では、盗難</w:t>
      </w:r>
      <w:r w:rsidRPr="00302E6E">
        <w:rPr>
          <w:rFonts w:ascii="ＭＳ 明朝" w:eastAsia="ＭＳ 明朝" w:hAnsi="ＭＳ 明朝" w:hint="eastAsia"/>
          <w:szCs w:val="21"/>
        </w:rPr>
        <w:t>や喧嘩などの</w:t>
      </w:r>
      <w:r w:rsidRPr="00302E6E">
        <w:rPr>
          <w:rFonts w:ascii="ＭＳ 明朝" w:eastAsia="ＭＳ 明朝" w:hAnsi="ＭＳ 明朝"/>
          <w:szCs w:val="21"/>
        </w:rPr>
        <w:t>犯罪は深刻</w:t>
      </w:r>
      <w:r w:rsidRPr="00302E6E">
        <w:rPr>
          <w:rFonts w:ascii="ＭＳ 明朝" w:eastAsia="ＭＳ 明朝" w:hAnsi="ＭＳ 明朝" w:hint="eastAsia"/>
          <w:szCs w:val="21"/>
        </w:rPr>
        <w:t>化している</w:t>
      </w:r>
      <w:r w:rsidRPr="00302E6E">
        <w:rPr>
          <w:rFonts w:ascii="ＭＳ 明朝" w:eastAsia="ＭＳ 明朝" w:hAnsi="ＭＳ 明朝"/>
          <w:szCs w:val="21"/>
        </w:rPr>
        <w:t>。タシケント</w:t>
      </w:r>
      <w:r w:rsidRPr="00302E6E">
        <w:rPr>
          <w:rFonts w:ascii="ＭＳ 明朝" w:eastAsia="ＭＳ 明朝" w:hAnsi="ＭＳ 明朝" w:hint="eastAsia"/>
          <w:szCs w:val="21"/>
        </w:rPr>
        <w:t>の犯罪防止局長</w:t>
      </w:r>
      <w:r w:rsidRPr="00302E6E">
        <w:rPr>
          <w:rFonts w:ascii="ＭＳ 明朝" w:eastAsia="ＭＳ 明朝" w:hAnsi="ＭＳ 明朝"/>
          <w:szCs w:val="21"/>
        </w:rPr>
        <w:t>、</w:t>
      </w:r>
      <w:r w:rsidRPr="00302E6E">
        <w:rPr>
          <w:rFonts w:ascii="ＭＳ 明朝" w:eastAsia="ＭＳ 明朝" w:hAnsi="ＭＳ 明朝" w:hint="eastAsia"/>
          <w:szCs w:val="21"/>
        </w:rPr>
        <w:t>アチロブ</w:t>
      </w:r>
      <w:r w:rsidRPr="00302E6E">
        <w:rPr>
          <w:rFonts w:ascii="ＭＳ 明朝" w:eastAsia="ＭＳ 明朝" w:hAnsi="ＭＳ 明朝"/>
          <w:szCs w:val="21"/>
        </w:rPr>
        <w:t>によると、学生は定期的にナイフ、軸を学校に持ってくるそうだ。</w:t>
      </w:r>
      <w:r w:rsidRPr="00302E6E">
        <w:rPr>
          <w:rFonts w:ascii="ＭＳ 明朝" w:eastAsia="ＭＳ 明朝" w:hAnsi="ＭＳ 明朝" w:hint="eastAsia"/>
          <w:szCs w:val="21"/>
        </w:rPr>
        <w:t>この問題の原因として</w:t>
      </w:r>
      <w:r w:rsidRPr="00302E6E">
        <w:rPr>
          <w:rFonts w:ascii="ＭＳ 明朝" w:eastAsia="ＭＳ 明朝" w:hAnsi="ＭＳ 明朝"/>
          <w:szCs w:val="21"/>
        </w:rPr>
        <w:t>は、</w:t>
      </w:r>
      <w:r w:rsidRPr="00302E6E">
        <w:rPr>
          <w:rFonts w:ascii="ＭＳ 明朝" w:eastAsia="ＭＳ 明朝" w:hAnsi="ＭＳ 明朝" w:hint="eastAsia"/>
          <w:szCs w:val="21"/>
        </w:rPr>
        <w:t>家庭の実態が悪化していることがあげられる。</w:t>
      </w:r>
      <w:r w:rsidRPr="00302E6E">
        <w:rPr>
          <w:rFonts w:ascii="ＭＳ 明朝" w:eastAsia="ＭＳ 明朝" w:hAnsi="ＭＳ 明朝"/>
          <w:szCs w:val="21"/>
        </w:rPr>
        <w:t>大部分の</w:t>
      </w:r>
      <w:r w:rsidRPr="00302E6E">
        <w:rPr>
          <w:rFonts w:ascii="ＭＳ 明朝" w:eastAsia="ＭＳ 明朝" w:hAnsi="ＭＳ 明朝" w:hint="eastAsia"/>
          <w:szCs w:val="21"/>
        </w:rPr>
        <w:t>生徒の</w:t>
      </w:r>
      <w:r w:rsidRPr="00302E6E">
        <w:rPr>
          <w:rFonts w:ascii="ＭＳ 明朝" w:eastAsia="ＭＳ 明朝" w:hAnsi="ＭＳ 明朝"/>
          <w:szCs w:val="21"/>
        </w:rPr>
        <w:t>両親は海外に出張しているため、</w:t>
      </w:r>
      <w:r w:rsidRPr="00302E6E">
        <w:rPr>
          <w:rFonts w:ascii="ＭＳ 明朝" w:eastAsia="ＭＳ 明朝" w:hAnsi="ＭＳ 明朝" w:hint="eastAsia"/>
          <w:szCs w:val="21"/>
        </w:rPr>
        <w:t>自分の子供を見守れないだろう。</w:t>
      </w:r>
      <w:r w:rsidRPr="00302E6E">
        <w:rPr>
          <w:rFonts w:ascii="ＭＳ 明朝" w:eastAsia="ＭＳ 明朝" w:hAnsi="ＭＳ 明朝"/>
          <w:szCs w:val="21"/>
        </w:rPr>
        <w:t>両親は育成に</w:t>
      </w:r>
      <w:r w:rsidRPr="00302E6E">
        <w:rPr>
          <w:rFonts w:ascii="ＭＳ 明朝" w:eastAsia="ＭＳ 明朝" w:hAnsi="ＭＳ 明朝" w:hint="eastAsia"/>
          <w:szCs w:val="21"/>
        </w:rPr>
        <w:t>きちんと</w:t>
      </w:r>
      <w:r w:rsidRPr="00302E6E">
        <w:rPr>
          <w:rFonts w:ascii="ＭＳ 明朝" w:eastAsia="ＭＳ 明朝" w:hAnsi="ＭＳ 明朝"/>
          <w:szCs w:val="21"/>
        </w:rPr>
        <w:t>参加することはできない</w:t>
      </w:r>
      <w:r w:rsidRPr="00302E6E">
        <w:rPr>
          <w:rFonts w:ascii="ＭＳ 明朝" w:eastAsia="ＭＳ 明朝" w:hAnsi="ＭＳ 明朝" w:hint="eastAsia"/>
          <w:szCs w:val="21"/>
        </w:rPr>
        <w:t>ので、できるだけ多くの贈り物を子供に与えようとする。そのため、子供は高価な電話や衣服などの物資が最も重要なものとしてわかっており、</w:t>
      </w:r>
      <w:r w:rsidRPr="00302E6E">
        <w:rPr>
          <w:rFonts w:ascii="ＭＳ 明朝" w:eastAsia="ＭＳ 明朝" w:hAnsi="ＭＳ 明朝"/>
          <w:szCs w:val="21"/>
        </w:rPr>
        <w:t>貧困</w:t>
      </w:r>
      <w:r w:rsidRPr="00302E6E">
        <w:rPr>
          <w:rFonts w:ascii="ＭＳ 明朝" w:eastAsia="ＭＳ 明朝" w:hAnsi="ＭＳ 明朝" w:hint="eastAsia"/>
          <w:szCs w:val="21"/>
        </w:rPr>
        <w:t>な家族の子供を嘲笑するのかもしれない。このいじめは更に深刻な問題の原因になった。２０１７</w:t>
      </w:r>
      <w:r w:rsidRPr="00302E6E">
        <w:rPr>
          <w:rFonts w:ascii="ＭＳ 明朝" w:eastAsia="ＭＳ 明朝" w:hAnsi="ＭＳ 明朝"/>
          <w:szCs w:val="21"/>
        </w:rPr>
        <w:t>年に学校における</w:t>
      </w:r>
      <w:r w:rsidRPr="00302E6E">
        <w:rPr>
          <w:rFonts w:ascii="ＭＳ 明朝" w:eastAsia="ＭＳ 明朝" w:hAnsi="ＭＳ 明朝" w:hint="eastAsia"/>
          <w:szCs w:val="21"/>
        </w:rPr>
        <w:t>いじめのために、様々な</w:t>
      </w:r>
      <w:r w:rsidRPr="00302E6E">
        <w:rPr>
          <w:rFonts w:ascii="ＭＳ 明朝" w:eastAsia="ＭＳ 明朝" w:hAnsi="ＭＳ 明朝"/>
          <w:szCs w:val="21"/>
        </w:rPr>
        <w:t>自殺ゲーム</w:t>
      </w:r>
      <w:r w:rsidRPr="00302E6E">
        <w:rPr>
          <w:rFonts w:ascii="ＭＳ 明朝" w:eastAsia="ＭＳ 明朝" w:hAnsi="ＭＳ 明朝" w:hint="eastAsia"/>
          <w:szCs w:val="21"/>
        </w:rPr>
        <w:t>が</w:t>
      </w:r>
      <w:r w:rsidRPr="00302E6E">
        <w:rPr>
          <w:rFonts w:ascii="ＭＳ 明朝" w:eastAsia="ＭＳ 明朝" w:hAnsi="ＭＳ 明朝"/>
          <w:szCs w:val="21"/>
        </w:rPr>
        <w:t>普及し</w:t>
      </w:r>
      <w:r w:rsidRPr="00302E6E">
        <w:rPr>
          <w:rFonts w:ascii="ＭＳ 明朝" w:eastAsia="ＭＳ 明朝" w:hAnsi="ＭＳ 明朝" w:hint="eastAsia"/>
          <w:szCs w:val="21"/>
        </w:rPr>
        <w:t>てき</w:t>
      </w:r>
      <w:r w:rsidRPr="00302E6E">
        <w:rPr>
          <w:rFonts w:ascii="ＭＳ 明朝" w:eastAsia="ＭＳ 明朝" w:hAnsi="ＭＳ 明朝"/>
          <w:szCs w:val="21"/>
        </w:rPr>
        <w:t>た。タシケント内務省は、自殺ゲームのグループに関与している生徒</w:t>
      </w:r>
      <w:r w:rsidRPr="00302E6E">
        <w:rPr>
          <w:rFonts w:ascii="ＭＳ 明朝" w:eastAsia="ＭＳ 明朝" w:hAnsi="ＭＳ 明朝" w:hint="eastAsia"/>
          <w:szCs w:val="21"/>
        </w:rPr>
        <w:t>の</w:t>
      </w:r>
      <w:r w:rsidRPr="00302E6E">
        <w:rPr>
          <w:rFonts w:ascii="ＭＳ 明朝" w:eastAsia="ＭＳ 明朝" w:hAnsi="ＭＳ 明朝"/>
          <w:szCs w:val="21"/>
        </w:rPr>
        <w:t>36人を明らかにした。タシュケントの地区警察官は、</w:t>
      </w:r>
      <w:r w:rsidRPr="00302E6E">
        <w:rPr>
          <w:rFonts w:ascii="ＭＳ 明朝" w:eastAsia="ＭＳ 明朝" w:hAnsi="ＭＳ 明朝" w:hint="eastAsia"/>
          <w:szCs w:val="21"/>
        </w:rPr>
        <w:t>「出席」という</w:t>
      </w:r>
      <w:r w:rsidRPr="00302E6E">
        <w:rPr>
          <w:rFonts w:ascii="ＭＳ 明朝" w:eastAsia="ＭＳ 明朝" w:hAnsi="ＭＳ 明朝"/>
          <w:szCs w:val="21"/>
        </w:rPr>
        <w:t>予防措置</w:t>
      </w:r>
      <w:r w:rsidRPr="00302E6E">
        <w:rPr>
          <w:rFonts w:ascii="ＭＳ 明朝" w:eastAsia="ＭＳ 明朝" w:hAnsi="ＭＳ 明朝" w:hint="eastAsia"/>
          <w:szCs w:val="21"/>
        </w:rPr>
        <w:t>を行い、</w:t>
      </w:r>
      <w:r w:rsidRPr="00302E6E">
        <w:rPr>
          <w:rFonts w:ascii="ＭＳ 明朝" w:eastAsia="ＭＳ 明朝" w:hAnsi="ＭＳ 明朝"/>
          <w:szCs w:val="21"/>
        </w:rPr>
        <w:t>学校</w:t>
      </w:r>
      <w:r w:rsidRPr="00302E6E">
        <w:rPr>
          <w:rFonts w:ascii="ＭＳ 明朝" w:eastAsia="ＭＳ 明朝" w:hAnsi="ＭＳ 明朝" w:hint="eastAsia"/>
          <w:szCs w:val="21"/>
        </w:rPr>
        <w:t>や</w:t>
      </w:r>
      <w:r w:rsidRPr="00302E6E">
        <w:rPr>
          <w:rFonts w:ascii="ＭＳ 明朝" w:eastAsia="ＭＳ 明朝" w:hAnsi="ＭＳ 明朝"/>
          <w:szCs w:val="21"/>
        </w:rPr>
        <w:t>大学</w:t>
      </w:r>
      <w:r w:rsidRPr="00302E6E">
        <w:rPr>
          <w:rFonts w:ascii="ＭＳ 明朝" w:eastAsia="ＭＳ 明朝" w:hAnsi="ＭＳ 明朝" w:hint="eastAsia"/>
          <w:szCs w:val="21"/>
        </w:rPr>
        <w:t>など</w:t>
      </w:r>
      <w:r w:rsidRPr="00302E6E">
        <w:rPr>
          <w:rFonts w:ascii="ＭＳ 明朝" w:eastAsia="ＭＳ 明朝" w:hAnsi="ＭＳ 明朝"/>
          <w:szCs w:val="21"/>
        </w:rPr>
        <w:t>の子供の</w:t>
      </w:r>
      <w:r w:rsidRPr="00302E6E">
        <w:rPr>
          <w:rFonts w:ascii="ＭＳ 明朝" w:eastAsia="ＭＳ 明朝" w:hAnsi="ＭＳ 明朝" w:hint="eastAsia"/>
          <w:szCs w:val="21"/>
        </w:rPr>
        <w:t>バッグの中身と携帯電話のデータ</w:t>
      </w:r>
      <w:r w:rsidRPr="00302E6E">
        <w:rPr>
          <w:rFonts w:ascii="ＭＳ 明朝" w:eastAsia="ＭＳ 明朝" w:hAnsi="ＭＳ 明朝"/>
          <w:szCs w:val="21"/>
        </w:rPr>
        <w:t>を確認し始めた。携帯電話をチェック</w:t>
      </w:r>
      <w:r w:rsidRPr="00302E6E">
        <w:rPr>
          <w:rFonts w:ascii="ＭＳ 明朝" w:eastAsia="ＭＳ 明朝" w:hAnsi="ＭＳ 明朝" w:hint="eastAsia"/>
          <w:szCs w:val="21"/>
        </w:rPr>
        <w:t>した</w:t>
      </w:r>
      <w:r w:rsidRPr="00302E6E">
        <w:rPr>
          <w:rFonts w:ascii="ＭＳ 明朝" w:eastAsia="ＭＳ 明朝" w:hAnsi="ＭＳ 明朝"/>
          <w:szCs w:val="21"/>
        </w:rPr>
        <w:t>とき</w:t>
      </w:r>
      <w:r w:rsidRPr="00302E6E">
        <w:rPr>
          <w:rFonts w:ascii="ＭＳ 明朝" w:eastAsia="ＭＳ 明朝" w:hAnsi="ＭＳ 明朝" w:hint="eastAsia"/>
          <w:szCs w:val="21"/>
        </w:rPr>
        <w:t>、</w:t>
      </w:r>
      <w:r w:rsidRPr="00302E6E">
        <w:rPr>
          <w:rFonts w:ascii="ＭＳ 明朝" w:eastAsia="ＭＳ 明朝" w:hAnsi="ＭＳ 明朝"/>
          <w:szCs w:val="21"/>
        </w:rPr>
        <w:t>自殺ゲームをやっている</w:t>
      </w:r>
      <w:r w:rsidRPr="00302E6E">
        <w:rPr>
          <w:rFonts w:ascii="ＭＳ 明朝" w:eastAsia="ＭＳ 明朝" w:hAnsi="ＭＳ 明朝" w:hint="eastAsia"/>
          <w:szCs w:val="21"/>
        </w:rPr>
        <w:t>生徒を発見した。この生徒の中で、</w:t>
      </w:r>
      <w:r w:rsidRPr="00302E6E">
        <w:rPr>
          <w:rFonts w:ascii="ＭＳ 明朝" w:eastAsia="ＭＳ 明朝" w:hAnsi="ＭＳ 明朝"/>
          <w:szCs w:val="21"/>
        </w:rPr>
        <w:t>中学校</w:t>
      </w:r>
      <w:r w:rsidRPr="00302E6E">
        <w:rPr>
          <w:rFonts w:ascii="ＭＳ 明朝" w:eastAsia="ＭＳ 明朝" w:hAnsi="ＭＳ 明朝" w:hint="eastAsia"/>
          <w:szCs w:val="21"/>
        </w:rPr>
        <w:t>生は</w:t>
      </w:r>
      <w:r w:rsidRPr="00302E6E">
        <w:rPr>
          <w:rFonts w:ascii="ＭＳ 明朝" w:eastAsia="ＭＳ 明朝" w:hAnsi="ＭＳ 明朝"/>
          <w:szCs w:val="21"/>
        </w:rPr>
        <w:t>31人、</w:t>
      </w:r>
      <w:r w:rsidRPr="00302E6E">
        <w:rPr>
          <w:rFonts w:ascii="ＭＳ 明朝" w:eastAsia="ＭＳ 明朝" w:hAnsi="ＭＳ 明朝" w:hint="eastAsia"/>
          <w:szCs w:val="21"/>
        </w:rPr>
        <w:t>高校生は</w:t>
      </w:r>
      <w:r w:rsidRPr="00302E6E">
        <w:rPr>
          <w:rFonts w:ascii="ＭＳ 明朝" w:eastAsia="ＭＳ 明朝" w:hAnsi="ＭＳ 明朝"/>
          <w:szCs w:val="21"/>
        </w:rPr>
        <w:t>5人だった。</w:t>
      </w:r>
      <w:r w:rsidRPr="00302E6E">
        <w:rPr>
          <w:rFonts w:ascii="ＭＳ 明朝" w:eastAsia="ＭＳ 明朝" w:hAnsi="ＭＳ 明朝" w:hint="eastAsia"/>
          <w:szCs w:val="21"/>
        </w:rPr>
        <w:t>これに関連し、</w:t>
      </w:r>
      <w:r w:rsidRPr="00302E6E">
        <w:rPr>
          <w:rFonts w:ascii="ＭＳ 明朝" w:eastAsia="ＭＳ 明朝" w:hAnsi="ＭＳ 明朝"/>
          <w:szCs w:val="21"/>
        </w:rPr>
        <w:t>ウズベキスタンのユニセフ事務所の長</w:t>
      </w:r>
      <w:r w:rsidRPr="00302E6E">
        <w:rPr>
          <w:rFonts w:ascii="ＭＳ 明朝" w:eastAsia="ＭＳ 明朝" w:hAnsi="ＭＳ 明朝" w:hint="eastAsia"/>
          <w:szCs w:val="21"/>
        </w:rPr>
        <w:t>、グラウマンは、</w:t>
      </w:r>
      <w:r w:rsidRPr="00302E6E">
        <w:rPr>
          <w:rFonts w:ascii="ＭＳ 明朝" w:eastAsia="ＭＳ 明朝" w:hAnsi="ＭＳ 明朝"/>
          <w:szCs w:val="21"/>
        </w:rPr>
        <w:t>学校で</w:t>
      </w:r>
      <w:r w:rsidRPr="00302E6E">
        <w:rPr>
          <w:rFonts w:ascii="ＭＳ 明朝" w:eastAsia="ＭＳ 明朝" w:hAnsi="ＭＳ 明朝" w:hint="eastAsia"/>
          <w:szCs w:val="21"/>
        </w:rPr>
        <w:t>の</w:t>
      </w:r>
      <w:r w:rsidRPr="00302E6E">
        <w:rPr>
          <w:rFonts w:ascii="ＭＳ 明朝" w:eastAsia="ＭＳ 明朝" w:hAnsi="ＭＳ 明朝"/>
          <w:szCs w:val="21"/>
        </w:rPr>
        <w:t>児童虐待が発生した状況</w:t>
      </w:r>
      <w:r w:rsidRPr="00302E6E">
        <w:rPr>
          <w:rFonts w:ascii="ＭＳ 明朝" w:eastAsia="ＭＳ 明朝" w:hAnsi="ＭＳ 明朝" w:hint="eastAsia"/>
          <w:szCs w:val="21"/>
        </w:rPr>
        <w:t>について</w:t>
      </w:r>
      <w:r w:rsidRPr="00302E6E">
        <w:rPr>
          <w:rFonts w:ascii="ＭＳ 明朝" w:eastAsia="ＭＳ 明朝" w:hAnsi="ＭＳ 明朝"/>
          <w:szCs w:val="21"/>
        </w:rPr>
        <w:t>声明を出した。「教育機関における脅迫と嫌がらせは、世界的に憂慮すべき問題となっており、毎日児童を暴力の犠牲者とする脅威になっている。脅迫の行動は、しばしば社会全体の脆弱性、汚名、差別の症状であり、特定の社会的集団に関連して表現されています」と</w:t>
      </w:r>
      <w:r w:rsidRPr="00302E6E">
        <w:rPr>
          <w:rFonts w:ascii="ＭＳ 明朝" w:eastAsia="ＭＳ 明朝" w:hAnsi="ＭＳ 明朝" w:hint="eastAsia"/>
          <w:szCs w:val="21"/>
        </w:rPr>
        <w:t>述べて</w:t>
      </w:r>
      <w:r w:rsidRPr="00302E6E">
        <w:rPr>
          <w:rFonts w:ascii="ＭＳ 明朝" w:eastAsia="ＭＳ 明朝" w:hAnsi="ＭＳ 明朝"/>
          <w:szCs w:val="21"/>
        </w:rPr>
        <w:t xml:space="preserve">いる。 </w:t>
      </w:r>
    </w:p>
    <w:p w14:paraId="2DF7739D" w14:textId="77777777" w:rsidR="00302E6E" w:rsidRPr="00302E6E" w:rsidRDefault="00302E6E" w:rsidP="00302E6E">
      <w:pPr>
        <w:ind w:firstLine="210"/>
        <w:rPr>
          <w:rFonts w:ascii="ＭＳ 明朝" w:eastAsia="ＭＳ 明朝" w:hAnsi="ＭＳ 明朝"/>
          <w:szCs w:val="21"/>
          <w:lang w:eastAsia="ja-JP"/>
        </w:rPr>
      </w:pPr>
    </w:p>
    <w:p w14:paraId="2542496F"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３．</w:t>
      </w:r>
      <w:r w:rsidRPr="00302E6E">
        <w:rPr>
          <w:rFonts w:ascii="ＭＳ 明朝" w:eastAsia="ＭＳ 明朝" w:hAnsi="ＭＳ 明朝"/>
          <w:szCs w:val="21"/>
        </w:rPr>
        <w:t>排除される人の特徴</w:t>
      </w:r>
    </w:p>
    <w:p w14:paraId="7B07F22D"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hint="eastAsia"/>
          <w:szCs w:val="21"/>
        </w:rPr>
        <w:t>ピクホフとアレクセバの研究者によれば、低所得者家族の子供は排除される可能性がある。しかし、</w:t>
      </w:r>
      <w:r w:rsidRPr="00302E6E">
        <w:rPr>
          <w:rFonts w:ascii="ＭＳ 明朝" w:eastAsia="ＭＳ 明朝" w:hAnsi="ＭＳ 明朝"/>
          <w:szCs w:val="21"/>
        </w:rPr>
        <w:t>貧困</w:t>
      </w:r>
      <w:r w:rsidRPr="00302E6E">
        <w:rPr>
          <w:rFonts w:ascii="ＭＳ 明朝" w:eastAsia="ＭＳ 明朝" w:hAnsi="ＭＳ 明朝" w:hint="eastAsia"/>
          <w:szCs w:val="21"/>
        </w:rPr>
        <w:t>な家族の子しかいじめられないのだろうか。</w:t>
      </w:r>
      <w:r w:rsidRPr="00302E6E">
        <w:rPr>
          <w:rFonts w:ascii="ＭＳ 明朝" w:eastAsia="ＭＳ 明朝" w:hAnsi="ＭＳ 明朝"/>
          <w:szCs w:val="21"/>
        </w:rPr>
        <w:t>貧困以外</w:t>
      </w:r>
      <w:r w:rsidRPr="00302E6E">
        <w:rPr>
          <w:rFonts w:ascii="ＭＳ 明朝" w:eastAsia="ＭＳ 明朝" w:hAnsi="ＭＳ 明朝" w:hint="eastAsia"/>
          <w:szCs w:val="21"/>
        </w:rPr>
        <w:t>に、排除される子どもの特徴として四つのことが挙げられる</w:t>
      </w:r>
      <w:r w:rsidRPr="00302E6E">
        <w:rPr>
          <w:rStyle w:val="ae"/>
          <w:rFonts w:ascii="ＭＳ 明朝" w:eastAsia="ＭＳ 明朝" w:hAnsi="ＭＳ 明朝"/>
          <w:szCs w:val="21"/>
        </w:rPr>
        <w:footnoteReference w:id="10"/>
      </w:r>
      <w:r w:rsidRPr="00302E6E">
        <w:rPr>
          <w:rFonts w:ascii="ＭＳ 明朝" w:eastAsia="ＭＳ 明朝" w:hAnsi="ＭＳ 明朝" w:hint="eastAsia"/>
          <w:szCs w:val="21"/>
        </w:rPr>
        <w:t>。</w:t>
      </w:r>
    </w:p>
    <w:p w14:paraId="7AE293CB"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lastRenderedPageBreak/>
        <w:t>第一に、</w:t>
      </w:r>
      <w:r w:rsidRPr="00302E6E">
        <w:rPr>
          <w:rFonts w:ascii="ＭＳ 明朝" w:eastAsia="ＭＳ 明朝" w:hAnsi="ＭＳ 明朝"/>
          <w:szCs w:val="21"/>
        </w:rPr>
        <w:t>「おとなしい，弱い，無口，暗い，逆らわない，臆病，すぐ泣き言をいう， 弱虫な子」など</w:t>
      </w:r>
      <w:r w:rsidRPr="00302E6E">
        <w:rPr>
          <w:rFonts w:ascii="ＭＳ 明朝" w:eastAsia="ＭＳ 明朝" w:hAnsi="ＭＳ 明朝" w:hint="eastAsia"/>
          <w:szCs w:val="21"/>
        </w:rPr>
        <w:t>である。</w:t>
      </w:r>
      <w:r w:rsidRPr="00302E6E">
        <w:rPr>
          <w:rFonts w:ascii="ＭＳ 明朝" w:eastAsia="ＭＳ 明朝" w:hAnsi="ＭＳ 明朝"/>
          <w:szCs w:val="21"/>
        </w:rPr>
        <w:t>一般的にいえば．いじめてもそれに対して反発や反撃をしない弱い子という特徴がある</w:t>
      </w:r>
      <w:r w:rsidRPr="00302E6E">
        <w:rPr>
          <w:rFonts w:ascii="ＭＳ 明朝" w:eastAsia="ＭＳ 明朝" w:hAnsi="ＭＳ 明朝" w:hint="eastAsia"/>
          <w:szCs w:val="21"/>
        </w:rPr>
        <w:t>。</w:t>
      </w:r>
      <w:r w:rsidRPr="00302E6E">
        <w:rPr>
          <w:rFonts w:ascii="ＭＳ 明朝" w:eastAsia="ＭＳ 明朝" w:hAnsi="ＭＳ 明朝"/>
          <w:szCs w:val="21"/>
        </w:rPr>
        <w:t>こうしたいわゆる「弱い者いじめ」は人として許されないことである</w:t>
      </w:r>
      <w:r w:rsidRPr="00302E6E">
        <w:rPr>
          <w:rFonts w:ascii="ＭＳ 明朝" w:eastAsia="ＭＳ 明朝" w:hAnsi="ＭＳ 明朝" w:hint="eastAsia"/>
          <w:szCs w:val="21"/>
        </w:rPr>
        <w:t>。</w:t>
      </w:r>
      <w:r w:rsidRPr="00302E6E">
        <w:rPr>
          <w:rFonts w:ascii="ＭＳ 明朝" w:eastAsia="ＭＳ 明朝" w:hAnsi="ＭＳ 明朝"/>
          <w:szCs w:val="21"/>
        </w:rPr>
        <w:t>しかし，大人の世界では弱い者いじめがまかり通っていたり黙認されている場合もあり，今では子どもの世界でも，「弱い者をいじめるのは恥」という子どもの世界のルールが失われてしまったほどに社会が変化してきたのである</w:t>
      </w:r>
      <w:r w:rsidRPr="00302E6E">
        <w:rPr>
          <w:rFonts w:ascii="ＭＳ 明朝" w:eastAsia="ＭＳ 明朝" w:hAnsi="ＭＳ 明朝" w:hint="eastAsia"/>
          <w:szCs w:val="21"/>
        </w:rPr>
        <w:t>。</w:t>
      </w:r>
    </w:p>
    <w:p w14:paraId="614CBEB7"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第二に、</w:t>
      </w:r>
      <w:r w:rsidRPr="00302E6E">
        <w:rPr>
          <w:rFonts w:ascii="ＭＳ 明朝" w:eastAsia="ＭＳ 明朝" w:hAnsi="ＭＳ 明朝"/>
          <w:szCs w:val="21"/>
        </w:rPr>
        <w:t>目立った・目障りな特徴のある子，たとえぼ，成績のよい子や美人の子，威張っている・口の利き方が悪い，口下手である，など目障りな子や</w:t>
      </w:r>
      <w:r w:rsidRPr="00302E6E">
        <w:rPr>
          <w:rFonts w:ascii="ＭＳ 明朝" w:eastAsia="ＭＳ 明朝" w:hAnsi="ＭＳ 明朝" w:hint="eastAsia"/>
          <w:szCs w:val="21"/>
        </w:rPr>
        <w:t>不快な</w:t>
      </w:r>
      <w:r w:rsidRPr="00302E6E">
        <w:rPr>
          <w:rFonts w:ascii="ＭＳ 明朝" w:eastAsia="ＭＳ 明朝" w:hAnsi="ＭＳ 明朝"/>
          <w:szCs w:val="21"/>
        </w:rPr>
        <w:t>子を除こうとする場合もある</w:t>
      </w:r>
      <w:r w:rsidRPr="00302E6E">
        <w:rPr>
          <w:rFonts w:ascii="ＭＳ 明朝" w:eastAsia="ＭＳ 明朝" w:hAnsi="ＭＳ 明朝" w:hint="eastAsia"/>
          <w:szCs w:val="21"/>
        </w:rPr>
        <w:t>。</w:t>
      </w:r>
    </w:p>
    <w:p w14:paraId="583D68F1"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第三に、</w:t>
      </w:r>
      <w:r w:rsidRPr="00302E6E">
        <w:rPr>
          <w:rFonts w:ascii="ＭＳ 明朝" w:eastAsia="ＭＳ 明朝" w:hAnsi="ＭＳ 明朝"/>
          <w:szCs w:val="21"/>
        </w:rPr>
        <w:t>社会的に劣っている状態，たとえば「勉強ができない，忘れ物が多い，不潔，貧乏」など</w:t>
      </w:r>
      <w:r w:rsidRPr="00302E6E">
        <w:rPr>
          <w:rFonts w:ascii="ＭＳ 明朝" w:eastAsia="ＭＳ 明朝" w:hAnsi="ＭＳ 明朝" w:hint="eastAsia"/>
          <w:szCs w:val="21"/>
        </w:rPr>
        <w:t>である。</w:t>
      </w:r>
    </w:p>
    <w:p w14:paraId="46EFC60F" w14:textId="77777777" w:rsidR="00302E6E" w:rsidRDefault="00302E6E" w:rsidP="00302E6E">
      <w:pPr>
        <w:rPr>
          <w:rFonts w:ascii="ＭＳ 明朝" w:eastAsia="ＭＳ 明朝" w:hAnsi="ＭＳ 明朝"/>
          <w:szCs w:val="21"/>
          <w:lang w:eastAsia="ja-JP"/>
        </w:rPr>
      </w:pPr>
      <w:r w:rsidRPr="00302E6E">
        <w:rPr>
          <w:rFonts w:ascii="ＭＳ 明朝" w:eastAsia="ＭＳ 明朝" w:hAnsi="ＭＳ 明朝" w:hint="eastAsia"/>
          <w:szCs w:val="21"/>
        </w:rPr>
        <w:t>第四に、</w:t>
      </w:r>
      <w:r w:rsidRPr="00302E6E">
        <w:rPr>
          <w:rFonts w:ascii="ＭＳ 明朝" w:eastAsia="ＭＳ 明朝" w:hAnsi="ＭＳ 明朝"/>
          <w:szCs w:val="21"/>
        </w:rPr>
        <w:t>身体的な欠陥やハンディキャップのある子，たとえば，身体にアザや欠陥がある，難病．背が低い，肥満児，天然パーマ，動作が鈍いなどが明らかになっている</w:t>
      </w:r>
      <w:r w:rsidRPr="00302E6E">
        <w:rPr>
          <w:rFonts w:ascii="ＭＳ 明朝" w:eastAsia="ＭＳ 明朝" w:hAnsi="ＭＳ 明朝" w:hint="eastAsia"/>
          <w:szCs w:val="21"/>
        </w:rPr>
        <w:t>。</w:t>
      </w:r>
    </w:p>
    <w:p w14:paraId="091B29C0" w14:textId="77777777" w:rsidR="00302E6E" w:rsidRPr="00302E6E" w:rsidRDefault="00302E6E" w:rsidP="00302E6E">
      <w:pPr>
        <w:rPr>
          <w:rFonts w:ascii="ＭＳ 明朝" w:eastAsia="ＭＳ 明朝" w:hAnsi="ＭＳ 明朝"/>
          <w:szCs w:val="21"/>
          <w:lang w:eastAsia="ja-JP"/>
        </w:rPr>
      </w:pPr>
    </w:p>
    <w:p w14:paraId="778E057D"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４．社会的排除</w:t>
      </w:r>
      <w:r w:rsidRPr="00302E6E">
        <w:rPr>
          <w:rFonts w:ascii="ＭＳ 明朝" w:eastAsia="ＭＳ 明朝" w:hAnsi="ＭＳ 明朝" w:hint="eastAsia"/>
          <w:szCs w:val="21"/>
        </w:rPr>
        <w:t>への対策</w:t>
      </w:r>
    </w:p>
    <w:p w14:paraId="1E7576A9"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szCs w:val="21"/>
        </w:rPr>
        <w:t>現在、ウズベキスタンでは各学校に、一人の心理学者しかいない。 その心理学者は、一般的に、キャリアカウンセリングの授業や入試でグループとしか仕事をしないので、こ</w:t>
      </w:r>
      <w:r w:rsidRPr="00302E6E">
        <w:rPr>
          <w:rFonts w:ascii="ＭＳ 明朝" w:eastAsia="ＭＳ 明朝" w:hAnsi="ＭＳ 明朝" w:hint="eastAsia"/>
          <w:szCs w:val="21"/>
        </w:rPr>
        <w:t>のよう</w:t>
      </w:r>
      <w:r w:rsidRPr="00302E6E">
        <w:rPr>
          <w:rFonts w:ascii="ＭＳ 明朝" w:eastAsia="ＭＳ 明朝" w:hAnsi="ＭＳ 明朝"/>
          <w:szCs w:val="21"/>
        </w:rPr>
        <w:t>な仕事は社会的排除を防止</w:t>
      </w:r>
      <w:r w:rsidRPr="00302E6E">
        <w:rPr>
          <w:rFonts w:ascii="ＭＳ 明朝" w:eastAsia="ＭＳ 明朝" w:hAnsi="ＭＳ 明朝" w:hint="eastAsia"/>
          <w:szCs w:val="21"/>
        </w:rPr>
        <w:t>するのには</w:t>
      </w:r>
      <w:r w:rsidRPr="00302E6E">
        <w:rPr>
          <w:rFonts w:ascii="ＭＳ 明朝" w:eastAsia="ＭＳ 明朝" w:hAnsi="ＭＳ 明朝"/>
          <w:szCs w:val="21"/>
        </w:rPr>
        <w:t>効果的ではないだろう。もっと心理学者を雇い、相談室を設置することが必要だ。</w:t>
      </w:r>
    </w:p>
    <w:p w14:paraId="1B55FA9A" w14:textId="77777777" w:rsidR="00302E6E" w:rsidRDefault="00302E6E" w:rsidP="00302E6E">
      <w:pPr>
        <w:ind w:firstLine="210"/>
        <w:rPr>
          <w:rFonts w:ascii="ＭＳ 明朝" w:eastAsia="ＭＳ 明朝" w:hAnsi="ＭＳ 明朝"/>
          <w:szCs w:val="21"/>
          <w:lang w:eastAsia="ja-JP"/>
        </w:rPr>
      </w:pPr>
      <w:r w:rsidRPr="00302E6E">
        <w:rPr>
          <w:rFonts w:ascii="ＭＳ 明朝" w:eastAsia="ＭＳ 明朝" w:hAnsi="ＭＳ 明朝"/>
          <w:szCs w:val="21"/>
        </w:rPr>
        <w:t>子どもにとって、学校で相談をすることは他の子どもに自分の抱えている問題を知られてしまうことへの警戒により抵抗感が強い</w:t>
      </w:r>
      <w:r w:rsidRPr="00302E6E">
        <w:rPr>
          <w:rFonts w:ascii="ＭＳ 明朝" w:eastAsia="ＭＳ 明朝" w:hAnsi="ＭＳ 明朝" w:hint="eastAsia"/>
          <w:szCs w:val="21"/>
        </w:rPr>
        <w:t>。</w:t>
      </w:r>
      <w:r w:rsidRPr="00302E6E">
        <w:rPr>
          <w:rFonts w:ascii="ＭＳ 明朝" w:eastAsia="ＭＳ 明朝" w:hAnsi="ＭＳ 明朝"/>
          <w:szCs w:val="21"/>
        </w:rPr>
        <w:t>このため日常的な活動の中で子どもが抵抗なく相談でき、子どもが抱える辛さや変化を察知できる場として、ヨーロッパで見られるようなユースセンタ-を整備していくことや、ユースワーカーが配備された子どもの「居場所」となるような場所を整備していくことが考えられる。また、子どもに対する電話相談体制の整備も重要である。相談電話を利用しやすいものにするとともに、子どもの目に届きやすいよう広報に工夫をして周知することが考えられる。なお、これらの相談体制の整備をする上では、虐待を受けていると諸能力が低下することや、本人の状態が厳しいほど言語化できないということも理解し、配慮することが必要である。</w:t>
      </w:r>
    </w:p>
    <w:p w14:paraId="721D6AD0" w14:textId="77777777" w:rsidR="00302E6E" w:rsidRPr="00302E6E" w:rsidRDefault="00302E6E" w:rsidP="00302E6E">
      <w:pPr>
        <w:ind w:firstLine="210"/>
        <w:rPr>
          <w:rFonts w:ascii="ＭＳ 明朝" w:eastAsia="ＭＳ 明朝" w:hAnsi="ＭＳ 明朝"/>
          <w:szCs w:val="21"/>
          <w:lang w:eastAsia="ja-JP"/>
        </w:rPr>
      </w:pPr>
    </w:p>
    <w:p w14:paraId="4C7BAB2E"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 xml:space="preserve">５．おわりに　</w:t>
      </w:r>
    </w:p>
    <w:p w14:paraId="3F62D742" w14:textId="77777777" w:rsidR="00302E6E" w:rsidRPr="00302E6E" w:rsidRDefault="00302E6E" w:rsidP="00302E6E">
      <w:pPr>
        <w:ind w:firstLine="210"/>
        <w:rPr>
          <w:rFonts w:ascii="ＭＳ 明朝" w:eastAsia="ＭＳ 明朝" w:hAnsi="ＭＳ 明朝"/>
          <w:szCs w:val="21"/>
        </w:rPr>
      </w:pPr>
      <w:r w:rsidRPr="00302E6E">
        <w:rPr>
          <w:rFonts w:ascii="ＭＳ 明朝" w:eastAsia="ＭＳ 明朝" w:hAnsi="ＭＳ 明朝" w:hint="eastAsia"/>
          <w:szCs w:val="21"/>
        </w:rPr>
        <w:t>本稿では、いじめられている生徒の特徴を挙げ、学校で排除される子供は、</w:t>
      </w:r>
      <w:r w:rsidRPr="00302E6E">
        <w:rPr>
          <w:rFonts w:ascii="ＭＳ 明朝" w:eastAsia="ＭＳ 明朝" w:hAnsi="ＭＳ 明朝"/>
          <w:szCs w:val="21"/>
        </w:rPr>
        <w:t>貧困</w:t>
      </w:r>
      <w:r w:rsidRPr="00302E6E">
        <w:rPr>
          <w:rFonts w:ascii="ＭＳ 明朝" w:eastAsia="ＭＳ 明朝" w:hAnsi="ＭＳ 明朝" w:hint="eastAsia"/>
          <w:szCs w:val="21"/>
        </w:rPr>
        <w:t>な家族の子供だけではないことを明らかにしてきた。第３章に述べたとおり、</w:t>
      </w:r>
      <w:r w:rsidRPr="00302E6E">
        <w:rPr>
          <w:rFonts w:ascii="ＭＳ 明朝" w:eastAsia="ＭＳ 明朝" w:hAnsi="ＭＳ 明朝"/>
          <w:szCs w:val="21"/>
        </w:rPr>
        <w:t>反撃をしない</w:t>
      </w:r>
      <w:r w:rsidRPr="00302E6E">
        <w:rPr>
          <w:rFonts w:ascii="ＭＳ 明朝" w:eastAsia="ＭＳ 明朝" w:hAnsi="ＭＳ 明朝" w:hint="eastAsia"/>
          <w:szCs w:val="21"/>
        </w:rPr>
        <w:t>、目立った、</w:t>
      </w:r>
      <w:r w:rsidRPr="00302E6E">
        <w:rPr>
          <w:rFonts w:ascii="ＭＳ 明朝" w:eastAsia="ＭＳ 明朝" w:hAnsi="ＭＳ 明朝"/>
          <w:szCs w:val="21"/>
        </w:rPr>
        <w:t>身体的な欠陥</w:t>
      </w:r>
      <w:r w:rsidRPr="00302E6E">
        <w:rPr>
          <w:rFonts w:ascii="ＭＳ 明朝" w:eastAsia="ＭＳ 明朝" w:hAnsi="ＭＳ 明朝" w:hint="eastAsia"/>
          <w:szCs w:val="21"/>
        </w:rPr>
        <w:t>のある子供も排除される。</w:t>
      </w:r>
      <w:r w:rsidRPr="00302E6E">
        <w:rPr>
          <w:rFonts w:ascii="ＭＳ 明朝" w:eastAsia="ＭＳ 明朝" w:hAnsi="ＭＳ 明朝"/>
          <w:szCs w:val="21"/>
        </w:rPr>
        <w:t>近年の社会的排除の深刻化を背景として、スクールカウンセラー等の予算</w:t>
      </w:r>
      <w:r w:rsidRPr="00302E6E">
        <w:rPr>
          <w:rFonts w:ascii="ＭＳ 明朝" w:eastAsia="ＭＳ 明朝" w:hAnsi="ＭＳ 明朝" w:hint="eastAsia"/>
          <w:szCs w:val="21"/>
        </w:rPr>
        <w:t>を</w:t>
      </w:r>
      <w:r w:rsidRPr="00302E6E">
        <w:rPr>
          <w:rFonts w:ascii="ＭＳ 明朝" w:eastAsia="ＭＳ 明朝" w:hAnsi="ＭＳ 明朝"/>
          <w:szCs w:val="21"/>
        </w:rPr>
        <w:t>拡充し、学校の心理相談業務が必要だ</w:t>
      </w:r>
      <w:r w:rsidRPr="00302E6E">
        <w:rPr>
          <w:rFonts w:ascii="ＭＳ 明朝" w:eastAsia="ＭＳ 明朝" w:hAnsi="ＭＳ 明朝" w:hint="eastAsia"/>
          <w:szCs w:val="21"/>
        </w:rPr>
        <w:t>と思える</w:t>
      </w:r>
      <w:r w:rsidRPr="00302E6E">
        <w:rPr>
          <w:rFonts w:ascii="ＭＳ 明朝" w:eastAsia="ＭＳ 明朝" w:hAnsi="ＭＳ 明朝"/>
          <w:szCs w:val="21"/>
        </w:rPr>
        <w:t>。この問題はウズベキスタン国家教育省と経済省に関係しているので、上記の解決活動に長い時間がかかる可能性がある</w:t>
      </w:r>
      <w:r w:rsidRPr="00302E6E">
        <w:rPr>
          <w:rFonts w:ascii="ＭＳ 明朝" w:eastAsia="ＭＳ 明朝" w:hAnsi="ＭＳ 明朝" w:hint="eastAsia"/>
          <w:szCs w:val="21"/>
        </w:rPr>
        <w:t>だろう</w:t>
      </w:r>
      <w:r w:rsidRPr="00302E6E">
        <w:rPr>
          <w:rFonts w:ascii="ＭＳ 明朝" w:eastAsia="ＭＳ 明朝" w:hAnsi="ＭＳ 明朝"/>
          <w:szCs w:val="21"/>
        </w:rPr>
        <w:t>。</w:t>
      </w:r>
      <w:r w:rsidRPr="00302E6E">
        <w:rPr>
          <w:rFonts w:ascii="ＭＳ 明朝" w:eastAsia="ＭＳ 明朝" w:hAnsi="ＭＳ 明朝" w:hint="eastAsia"/>
          <w:szCs w:val="21"/>
        </w:rPr>
        <w:t>なぜなら、生徒の間で診断を行い、いじめの問題を解決できる心理学の専門家の訓練を開始することが必要であるからだ。心理学者が学校でのいじめを防止するために必要な知識とスキルを明らかにすることを今後の課題として検討していきたい。</w:t>
      </w:r>
    </w:p>
    <w:p w14:paraId="4DE8C6C2" w14:textId="77777777" w:rsidR="00302E6E" w:rsidRPr="00302E6E" w:rsidRDefault="00302E6E" w:rsidP="00302E6E">
      <w:pPr>
        <w:ind w:firstLine="210"/>
        <w:rPr>
          <w:rFonts w:ascii="ＭＳ 明朝" w:eastAsia="ＭＳ 明朝" w:hAnsi="ＭＳ 明朝"/>
          <w:szCs w:val="21"/>
        </w:rPr>
      </w:pPr>
    </w:p>
    <w:p w14:paraId="761DDAC3"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参考文献</w:t>
      </w:r>
    </w:p>
    <w:p w14:paraId="725E6652"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阿部彩（2007）「日本における社会的排除の実態とその要因」『季刊社会保障研究』第43 巻第1 号、(2007.6.25), p.27-40.</w:t>
      </w:r>
    </w:p>
    <w:p w14:paraId="2A883ED1"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szCs w:val="21"/>
        </w:rPr>
        <w:t>阿部彩（2011）「子ども期の貧困が成人後の生活困難（デプリベーション）に与える影響</w:t>
      </w:r>
      <w:r w:rsidRPr="00302E6E">
        <w:rPr>
          <w:rFonts w:ascii="ＭＳ 明朝" w:eastAsia="ＭＳ 明朝" w:hAnsi="ＭＳ 明朝"/>
          <w:szCs w:val="21"/>
        </w:rPr>
        <w:lastRenderedPageBreak/>
        <w:t>の分析」『季刊社会保障研究』第46 巻4 号(2011.3.31)、pp.354-367.</w:t>
      </w:r>
    </w:p>
    <w:p w14:paraId="47DEA87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朝日新聞山形支局著　1994　マット死事件　見えない「いじめ」の構図　太郎次郎社</w:t>
      </w:r>
    </w:p>
    <w:p w14:paraId="43F20DE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アレクセバ・イリナ「心理的な外傷を負った子供」</w:t>
      </w:r>
    </w:p>
    <w:p w14:paraId="380C8953"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ピクホフ・ハロＰＩＳＡ試験の結果について</w:t>
      </w:r>
    </w:p>
    <w:p w14:paraId="53FCFB49" w14:textId="77777777" w:rsidR="00302E6E" w:rsidRPr="00302E6E" w:rsidRDefault="00302E6E" w:rsidP="00302E6E">
      <w:pPr>
        <w:rPr>
          <w:rFonts w:ascii="ＭＳ 明朝" w:eastAsia="ＭＳ 明朝" w:hAnsi="ＭＳ 明朝"/>
          <w:szCs w:val="21"/>
        </w:rPr>
      </w:pPr>
      <w:r w:rsidRPr="00302E6E">
        <w:rPr>
          <w:rFonts w:ascii="ＭＳ 明朝" w:eastAsia="ＭＳ 明朝" w:hAnsi="ＭＳ 明朝" w:hint="eastAsia"/>
          <w:szCs w:val="21"/>
        </w:rPr>
        <w:t>レイン・ミラー「子供と十代の精神療法」２０１６、モスクワ</w:t>
      </w:r>
    </w:p>
    <w:p w14:paraId="2B40F9F6" w14:textId="77777777" w:rsidR="00302E6E" w:rsidRPr="00302E6E" w:rsidRDefault="00302E6E" w:rsidP="00302E6E">
      <w:pPr>
        <w:rPr>
          <w:rFonts w:ascii="ＭＳ 明朝" w:eastAsia="ＭＳ 明朝" w:hAnsi="ＭＳ 明朝"/>
          <w:szCs w:val="21"/>
        </w:rPr>
      </w:pPr>
    </w:p>
    <w:p w14:paraId="76C20F0E" w14:textId="77777777" w:rsidR="00302E6E" w:rsidRPr="00302E6E" w:rsidRDefault="00302E6E" w:rsidP="00302E6E">
      <w:pPr>
        <w:rPr>
          <w:rFonts w:ascii="ＭＳ 明朝" w:eastAsia="ＭＳ 明朝" w:hAnsi="ＭＳ 明朝"/>
          <w:szCs w:val="21"/>
        </w:rPr>
      </w:pPr>
    </w:p>
    <w:p w14:paraId="6C55903B" w14:textId="77777777" w:rsidR="001C43F6" w:rsidRPr="00302E6E" w:rsidRDefault="001C43F6" w:rsidP="001C43F6">
      <w:pPr>
        <w:rPr>
          <w:rFonts w:ascii="ＭＳ 明朝" w:eastAsia="ＭＳ 明朝" w:hAnsi="ＭＳ 明朝"/>
          <w:szCs w:val="21"/>
          <w:lang w:eastAsia="ja-JP"/>
        </w:rPr>
      </w:pPr>
    </w:p>
    <w:p w14:paraId="55A86192" w14:textId="77777777" w:rsidR="001C43F6" w:rsidRPr="00302E6E" w:rsidRDefault="001C43F6" w:rsidP="001C43F6">
      <w:pPr>
        <w:rPr>
          <w:rFonts w:ascii="ＭＳ 明朝" w:eastAsia="ＭＳ 明朝" w:hAnsi="ＭＳ 明朝"/>
          <w:szCs w:val="21"/>
          <w:lang w:eastAsia="ja-JP"/>
        </w:rPr>
      </w:pPr>
    </w:p>
    <w:p w14:paraId="104D0C7D" w14:textId="77777777" w:rsidR="001C43F6" w:rsidRPr="00302E6E" w:rsidRDefault="001C43F6" w:rsidP="001C43F6">
      <w:pPr>
        <w:rPr>
          <w:rFonts w:ascii="ＭＳ 明朝" w:eastAsia="ＭＳ 明朝" w:hAnsi="ＭＳ 明朝"/>
          <w:szCs w:val="21"/>
          <w:lang w:eastAsia="ja-JP"/>
        </w:rPr>
      </w:pPr>
    </w:p>
    <w:p w14:paraId="42F1D082" w14:textId="77777777" w:rsidR="001C43F6" w:rsidRPr="00302E6E" w:rsidRDefault="001C43F6" w:rsidP="001C43F6">
      <w:pPr>
        <w:rPr>
          <w:rFonts w:ascii="ＭＳ 明朝" w:eastAsia="ＭＳ 明朝" w:hAnsi="ＭＳ 明朝"/>
          <w:szCs w:val="21"/>
          <w:lang w:eastAsia="ja-JP"/>
        </w:rPr>
      </w:pPr>
    </w:p>
    <w:p w14:paraId="6DD74713" w14:textId="76E4CF4E" w:rsidR="007E3C96" w:rsidRPr="00302E6E" w:rsidRDefault="007E3C96" w:rsidP="001C43F6">
      <w:pPr>
        <w:rPr>
          <w:rFonts w:ascii="ＭＳ 明朝" w:eastAsia="ＭＳ 明朝" w:hAnsi="ＭＳ 明朝"/>
          <w:szCs w:val="21"/>
          <w:lang w:eastAsia="ja-JP"/>
        </w:rPr>
      </w:pPr>
    </w:p>
    <w:p w14:paraId="51D8D7BA" w14:textId="77777777" w:rsidR="001C43F6" w:rsidRPr="00302E6E" w:rsidRDefault="001C43F6" w:rsidP="001C43F6">
      <w:pPr>
        <w:rPr>
          <w:rFonts w:ascii="ＭＳ 明朝" w:eastAsia="ＭＳ 明朝" w:hAnsi="ＭＳ 明朝"/>
          <w:szCs w:val="21"/>
          <w:lang w:eastAsia="ja-JP"/>
        </w:rPr>
      </w:pPr>
    </w:p>
    <w:p w14:paraId="06D8E5DF" w14:textId="77777777" w:rsidR="001C43F6" w:rsidRPr="00302E6E" w:rsidRDefault="001C43F6" w:rsidP="001C43F6">
      <w:pPr>
        <w:rPr>
          <w:rFonts w:ascii="ＭＳ 明朝" w:eastAsia="ＭＳ 明朝" w:hAnsi="ＭＳ 明朝"/>
          <w:szCs w:val="21"/>
          <w:lang w:eastAsia="ja-JP"/>
        </w:rPr>
      </w:pPr>
    </w:p>
    <w:p w14:paraId="49F753AF" w14:textId="77777777" w:rsidR="001C43F6" w:rsidRPr="00302E6E" w:rsidRDefault="001C43F6" w:rsidP="001C43F6">
      <w:pPr>
        <w:rPr>
          <w:rFonts w:ascii="ＭＳ 明朝" w:eastAsia="ＭＳ 明朝" w:hAnsi="ＭＳ 明朝"/>
          <w:szCs w:val="21"/>
          <w:lang w:eastAsia="ja-JP"/>
        </w:rPr>
      </w:pPr>
    </w:p>
    <w:p w14:paraId="305238D7" w14:textId="77777777" w:rsidR="001C43F6" w:rsidRPr="00302E6E" w:rsidRDefault="001C43F6" w:rsidP="001C43F6">
      <w:pPr>
        <w:rPr>
          <w:rFonts w:ascii="ＭＳ 明朝" w:eastAsia="ＭＳ 明朝" w:hAnsi="ＭＳ 明朝"/>
          <w:szCs w:val="21"/>
          <w:lang w:eastAsia="ja-JP"/>
        </w:rPr>
      </w:pPr>
    </w:p>
    <w:p w14:paraId="5D5B68E5" w14:textId="77777777" w:rsidR="001C43F6" w:rsidRPr="00302E6E" w:rsidRDefault="001C43F6" w:rsidP="001C43F6">
      <w:pPr>
        <w:rPr>
          <w:rFonts w:ascii="ＭＳ 明朝" w:eastAsia="ＭＳ 明朝" w:hAnsi="ＭＳ 明朝"/>
          <w:szCs w:val="21"/>
          <w:lang w:eastAsia="ja-JP"/>
        </w:rPr>
      </w:pPr>
    </w:p>
    <w:p w14:paraId="16D3FC66" w14:textId="77777777" w:rsidR="001C43F6" w:rsidRPr="00302E6E" w:rsidRDefault="001C43F6" w:rsidP="001C43F6">
      <w:pPr>
        <w:rPr>
          <w:rFonts w:ascii="ＭＳ 明朝" w:eastAsia="ＭＳ 明朝" w:hAnsi="ＭＳ 明朝"/>
          <w:szCs w:val="21"/>
          <w:lang w:eastAsia="ja-JP"/>
        </w:rPr>
      </w:pPr>
    </w:p>
    <w:sectPr w:rsidR="001C43F6" w:rsidRPr="00302E6E" w:rsidSect="008C6DFD">
      <w:footerReference w:type="defaul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0D780" w14:textId="77777777" w:rsidR="005A6A9A" w:rsidRDefault="005A6A9A" w:rsidP="007C25C0">
      <w:r>
        <w:separator/>
      </w:r>
    </w:p>
  </w:endnote>
  <w:endnote w:type="continuationSeparator" w:id="0">
    <w:p w14:paraId="4491D180" w14:textId="77777777" w:rsidR="005A6A9A" w:rsidRDefault="005A6A9A" w:rsidP="007C2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sig w:usb0="800000AF" w:usb1="1001ECEA" w:usb2="00000000" w:usb3="00000000" w:csb0="00000001"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A87" w:usb1="00000000" w:usb2="00000000" w:usb3="00000000" w:csb0="000000BF" w:csb1="00000000"/>
  </w:font>
  <w:font w:name="DFKai-SB">
    <w:altName w:val="標楷體"/>
    <w:panose1 w:val="03000509000000000000"/>
    <w:charset w:val="88"/>
    <w:family w:val="script"/>
    <w:pitch w:val="fixed"/>
    <w:sig w:usb0="00000003" w:usb1="080E0000"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HGS正楷書体">
    <w:altName w:val="ＭＳ Ｐ明朝"/>
    <w:charset w:val="80"/>
    <w:family w:val="script"/>
    <w:pitch w:val="variable"/>
    <w:sig w:usb0="00000000"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PMingLiU">
    <w:altName w:val="新細明體"/>
    <w:panose1 w:val="02020500000000000000"/>
    <w:charset w:val="88"/>
    <w:family w:val="auto"/>
    <w:notTrueType/>
    <w:pitch w:val="variable"/>
    <w:sig w:usb0="00000001" w:usb1="08080000" w:usb2="00000010" w:usb3="00000000" w:csb0="00100000" w:csb1="00000000"/>
  </w:font>
  <w:font w:name="微软雅黑 Light">
    <w:altName w:val="Microsoft YaHei Light"/>
    <w:charset w:val="86"/>
    <w:family w:val="swiss"/>
    <w:pitch w:val="variable"/>
    <w:sig w:usb0="00000000" w:usb1="28CF0010" w:usb2="00000016" w:usb3="00000000" w:csb0="0004001F" w:csb1="00000000"/>
  </w:font>
  <w:font w:name="Arial">
    <w:panose1 w:val="020B0604020202020204"/>
    <w:charset w:val="00"/>
    <w:family w:val="swiss"/>
    <w:pitch w:val="variable"/>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363239"/>
      <w:docPartObj>
        <w:docPartGallery w:val="Page Numbers (Bottom of Page)"/>
        <w:docPartUnique/>
      </w:docPartObj>
    </w:sdtPr>
    <w:sdtEndPr/>
    <w:sdtContent>
      <w:p w14:paraId="7767B222" w14:textId="39B29A72" w:rsidR="008C6DFD" w:rsidRDefault="008C6DFD">
        <w:pPr>
          <w:pStyle w:val="a6"/>
          <w:jc w:val="center"/>
        </w:pPr>
        <w:r>
          <w:fldChar w:fldCharType="begin"/>
        </w:r>
        <w:r>
          <w:instrText>PAGE   \* MERGEFORMAT</w:instrText>
        </w:r>
        <w:r>
          <w:fldChar w:fldCharType="separate"/>
        </w:r>
        <w:r w:rsidR="00CE4D60" w:rsidRPr="00CE4D60">
          <w:rPr>
            <w:noProof/>
            <w:lang w:val="ja-JP" w:eastAsia="ja-JP"/>
          </w:rPr>
          <w:t>1</w:t>
        </w:r>
        <w:r>
          <w:fldChar w:fldCharType="end"/>
        </w:r>
      </w:p>
    </w:sdtContent>
  </w:sdt>
  <w:p w14:paraId="3AC9FE82" w14:textId="77777777" w:rsidR="008C6DFD" w:rsidRDefault="008C6D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6C906" w14:textId="77777777" w:rsidR="005A6A9A" w:rsidRDefault="005A6A9A" w:rsidP="007C25C0">
      <w:r>
        <w:separator/>
      </w:r>
    </w:p>
  </w:footnote>
  <w:footnote w:type="continuationSeparator" w:id="0">
    <w:p w14:paraId="3CC6BCFC" w14:textId="77777777" w:rsidR="005A6A9A" w:rsidRDefault="005A6A9A" w:rsidP="007C25C0">
      <w:r>
        <w:continuationSeparator/>
      </w:r>
    </w:p>
  </w:footnote>
  <w:footnote w:id="1">
    <w:p w14:paraId="56AD2588" w14:textId="77777777" w:rsidR="008C6DFD" w:rsidRPr="00C86D7B" w:rsidRDefault="008C6DFD" w:rsidP="001C43F6">
      <w:pPr>
        <w:rPr>
          <w:rFonts w:ascii="ＭＳ 明朝" w:eastAsia="ＭＳ 明朝" w:hAnsi="ＭＳ 明朝" w:cs="Arial"/>
          <w:sz w:val="18"/>
          <w:szCs w:val="21"/>
          <w:lang w:eastAsia="ja-JP"/>
        </w:rPr>
      </w:pPr>
      <w:r>
        <w:rPr>
          <w:rStyle w:val="ae"/>
        </w:rPr>
        <w:footnoteRef/>
      </w:r>
      <w:r w:rsidRPr="00C86D7B">
        <w:rPr>
          <w:rFonts w:ascii="ＭＳ 明朝" w:eastAsia="ＭＳ 明朝" w:hAnsi="ＭＳ 明朝" w:hint="eastAsia"/>
          <w:sz w:val="18"/>
          <w:szCs w:val="21"/>
          <w:lang w:eastAsia="ja-JP"/>
        </w:rPr>
        <w:t>勝又一成</w:t>
      </w:r>
      <w:r w:rsidRPr="00C86D7B">
        <w:rPr>
          <w:rFonts w:ascii="ＭＳ 明朝" w:eastAsia="ＭＳ 明朝" w:hAnsi="ＭＳ 明朝" w:cs="Arial" w:hint="eastAsia"/>
          <w:sz w:val="18"/>
          <w:szCs w:val="21"/>
          <w:lang w:eastAsia="ja-JP"/>
        </w:rPr>
        <w:t>(2013)</w:t>
      </w:r>
      <w:r w:rsidRPr="00C86D7B">
        <w:rPr>
          <w:rFonts w:ascii="ＭＳ 明朝" w:eastAsia="ＭＳ 明朝" w:hAnsi="ＭＳ 明朝" w:hint="eastAsia"/>
          <w:sz w:val="18"/>
          <w:szCs w:val="21"/>
          <w:lang w:eastAsia="ja-JP"/>
        </w:rPr>
        <w:t>「「プラザ合意」によるバブル経済への道」</w:t>
      </w:r>
      <w:r w:rsidRPr="00C86D7B">
        <w:rPr>
          <w:rFonts w:ascii="ＭＳ 明朝" w:eastAsia="ＭＳ 明朝" w:hAnsi="ＭＳ 明朝" w:cs="Arial" w:hint="eastAsia"/>
          <w:sz w:val="18"/>
          <w:szCs w:val="21"/>
          <w:lang w:eastAsia="ja-JP"/>
        </w:rPr>
        <w:t>東京経営短期大学紀要</w:t>
      </w:r>
    </w:p>
    <w:p w14:paraId="4B85BDB4" w14:textId="77777777" w:rsidR="008C6DFD" w:rsidRPr="00C86D7B" w:rsidRDefault="008C6DFD" w:rsidP="001C43F6">
      <w:pPr>
        <w:pStyle w:val="ac"/>
        <w:rPr>
          <w:lang w:eastAsia="ja-JP"/>
        </w:rPr>
      </w:pPr>
    </w:p>
  </w:footnote>
  <w:footnote w:id="2">
    <w:p w14:paraId="64CB806C" w14:textId="77777777" w:rsidR="008C6DFD" w:rsidRPr="00BB2DF2" w:rsidRDefault="008C6DFD" w:rsidP="001C43F6">
      <w:pPr>
        <w:rPr>
          <w:rFonts w:ascii="ＭＳ 明朝" w:eastAsia="ＭＳ 明朝" w:hAnsi="ＭＳ 明朝"/>
          <w:sz w:val="18"/>
          <w:szCs w:val="21"/>
          <w:lang w:eastAsia="ja-JP"/>
        </w:rPr>
      </w:pPr>
      <w:r>
        <w:rPr>
          <w:rStyle w:val="ae"/>
        </w:rPr>
        <w:footnoteRef/>
      </w:r>
      <w:r w:rsidRPr="00BB2DF2">
        <w:rPr>
          <w:rFonts w:ascii="ＭＳ 明朝" w:eastAsia="ＭＳ 明朝" w:hAnsi="ＭＳ 明朝"/>
          <w:sz w:val="18"/>
          <w:szCs w:val="21"/>
          <w:lang w:eastAsia="ja-JP"/>
        </w:rPr>
        <w:t>小川</w:t>
      </w:r>
      <w:r w:rsidRPr="00BB2DF2">
        <w:rPr>
          <w:rFonts w:ascii="ＭＳ 明朝" w:eastAsia="ＭＳ 明朝" w:hAnsi="ＭＳ 明朝" w:hint="eastAsia"/>
          <w:sz w:val="18"/>
          <w:szCs w:val="21"/>
          <w:lang w:eastAsia="ja-JP"/>
        </w:rPr>
        <w:t>一</w:t>
      </w:r>
      <w:r w:rsidRPr="00BB2DF2">
        <w:rPr>
          <w:rFonts w:ascii="ＭＳ 明朝" w:eastAsia="ＭＳ 明朝" w:hAnsi="ＭＳ 明朝"/>
          <w:sz w:val="18"/>
          <w:szCs w:val="21"/>
          <w:lang w:eastAsia="ja-JP"/>
        </w:rPr>
        <w:t>夫</w:t>
      </w:r>
      <w:r w:rsidRPr="00BB2DF2">
        <w:rPr>
          <w:rFonts w:ascii="ＭＳ 明朝" w:eastAsia="ＭＳ 明朝" w:hAnsi="ＭＳ 明朝" w:hint="eastAsia"/>
          <w:sz w:val="18"/>
          <w:szCs w:val="21"/>
          <w:lang w:eastAsia="ja-JP"/>
        </w:rPr>
        <w:t>(</w:t>
      </w:r>
      <w:r w:rsidRPr="00BB2DF2">
        <w:rPr>
          <w:rFonts w:ascii="ＭＳ 明朝" w:eastAsia="ＭＳ 明朝" w:hAnsi="ＭＳ 明朝"/>
          <w:sz w:val="18"/>
          <w:szCs w:val="21"/>
          <w:lang w:eastAsia="ja-JP"/>
        </w:rPr>
        <w:t>2009</w:t>
      </w:r>
      <w:r w:rsidRPr="00BB2DF2">
        <w:rPr>
          <w:rFonts w:ascii="ＭＳ 明朝" w:eastAsia="ＭＳ 明朝" w:hAnsi="ＭＳ 明朝" w:hint="eastAsia"/>
          <w:sz w:val="18"/>
          <w:szCs w:val="21"/>
          <w:lang w:eastAsia="ja-JP"/>
        </w:rPr>
        <w:t>)『「失われた10年」</w:t>
      </w:r>
      <w:r w:rsidRPr="00BB2DF2">
        <w:rPr>
          <w:rFonts w:ascii="ＭＳ 明朝" w:eastAsia="ＭＳ 明朝" w:hAnsi="ＭＳ 明朝"/>
          <w:sz w:val="18"/>
          <w:szCs w:val="21"/>
          <w:lang w:eastAsia="ja-JP"/>
        </w:rPr>
        <w:t>の真実</w:t>
      </w:r>
      <w:r w:rsidRPr="00BB2DF2">
        <w:rPr>
          <w:rFonts w:ascii="ＭＳ 明朝" w:eastAsia="ＭＳ 明朝" w:hAnsi="ＭＳ 明朝" w:hint="eastAsia"/>
          <w:sz w:val="18"/>
          <w:szCs w:val="21"/>
          <w:lang w:eastAsia="ja-JP"/>
        </w:rPr>
        <w:t>(実体経済</w:t>
      </w:r>
      <w:r w:rsidRPr="00BB2DF2">
        <w:rPr>
          <w:rFonts w:ascii="ＭＳ 明朝" w:eastAsia="ＭＳ 明朝" w:hAnsi="ＭＳ 明朝"/>
          <w:sz w:val="18"/>
          <w:szCs w:val="21"/>
          <w:lang w:eastAsia="ja-JP"/>
        </w:rPr>
        <w:t>と金融システムの相克</w:t>
      </w:r>
      <w:r w:rsidRPr="00BB2DF2">
        <w:rPr>
          <w:rFonts w:ascii="ＭＳ 明朝" w:eastAsia="ＭＳ 明朝" w:hAnsi="ＭＳ 明朝" w:hint="eastAsia"/>
          <w:sz w:val="18"/>
          <w:szCs w:val="21"/>
          <w:lang w:eastAsia="ja-JP"/>
        </w:rPr>
        <w:t>)』東洋経済</w:t>
      </w:r>
      <w:r w:rsidRPr="00BB2DF2">
        <w:rPr>
          <w:rFonts w:ascii="ＭＳ 明朝" w:eastAsia="ＭＳ 明朝" w:hAnsi="ＭＳ 明朝"/>
          <w:sz w:val="18"/>
          <w:szCs w:val="21"/>
          <w:lang w:eastAsia="ja-JP"/>
        </w:rPr>
        <w:t>新報</w:t>
      </w:r>
      <w:r w:rsidRPr="00BB2DF2">
        <w:rPr>
          <w:rFonts w:ascii="ＭＳ 明朝" w:eastAsia="ＭＳ 明朝" w:hAnsi="ＭＳ 明朝" w:hint="eastAsia"/>
          <w:sz w:val="18"/>
          <w:szCs w:val="21"/>
          <w:lang w:eastAsia="ja-JP"/>
        </w:rPr>
        <w:t>社</w:t>
      </w:r>
    </w:p>
    <w:p w14:paraId="6E0AADDC" w14:textId="77777777" w:rsidR="008C6DFD" w:rsidRPr="00BB2DF2" w:rsidRDefault="008C6DFD" w:rsidP="001C43F6">
      <w:pPr>
        <w:pStyle w:val="ac"/>
        <w:rPr>
          <w:lang w:eastAsia="ja-JP"/>
        </w:rPr>
      </w:pPr>
    </w:p>
  </w:footnote>
  <w:footnote w:id="3">
    <w:p w14:paraId="2ABCD014" w14:textId="77777777" w:rsidR="008C6DFD" w:rsidRPr="00022D13" w:rsidRDefault="008C6DFD" w:rsidP="001C43F6">
      <w:pPr>
        <w:rPr>
          <w:rFonts w:ascii="ＭＳ 明朝" w:eastAsia="ＭＳ 明朝" w:hAnsi="ＭＳ 明朝"/>
          <w:sz w:val="18"/>
          <w:szCs w:val="21"/>
          <w:lang w:eastAsia="ja-JP"/>
        </w:rPr>
      </w:pPr>
      <w:r>
        <w:rPr>
          <w:rStyle w:val="ae"/>
        </w:rPr>
        <w:footnoteRef/>
      </w:r>
      <w:r w:rsidRPr="00022D13">
        <w:rPr>
          <w:rFonts w:ascii="ＭＳ 明朝" w:eastAsia="ＭＳ 明朝" w:hAnsi="ＭＳ 明朝" w:hint="eastAsia"/>
          <w:sz w:val="18"/>
          <w:szCs w:val="21"/>
          <w:lang w:eastAsia="ja-JP"/>
        </w:rPr>
        <w:t>東野裕夫(</w:t>
      </w:r>
      <w:r w:rsidRPr="00022D13">
        <w:rPr>
          <w:rFonts w:ascii="ＭＳ 明朝" w:eastAsia="ＭＳ 明朝" w:hAnsi="ＭＳ 明朝"/>
          <w:sz w:val="18"/>
          <w:szCs w:val="21"/>
          <w:lang w:eastAsia="ja-JP"/>
        </w:rPr>
        <w:t>2015</w:t>
      </w:r>
      <w:r w:rsidRPr="00022D13">
        <w:rPr>
          <w:rFonts w:ascii="ＭＳ 明朝" w:eastAsia="ＭＳ 明朝" w:hAnsi="ＭＳ 明朝" w:hint="eastAsia"/>
          <w:sz w:val="18"/>
          <w:szCs w:val="21"/>
          <w:lang w:eastAsia="ja-JP"/>
        </w:rPr>
        <w:t>)「プラザ合意再考~政治敗戦か、それとも経済敗戦か」国際政経論叢</w:t>
      </w:r>
    </w:p>
    <w:p w14:paraId="28874C2F" w14:textId="77777777" w:rsidR="008C6DFD" w:rsidRPr="00022D13" w:rsidRDefault="008C6DFD" w:rsidP="001C43F6">
      <w:pPr>
        <w:pStyle w:val="ac"/>
        <w:rPr>
          <w:lang w:eastAsia="ja-JP"/>
        </w:rPr>
      </w:pPr>
    </w:p>
  </w:footnote>
  <w:footnote w:id="4">
    <w:p w14:paraId="520A795C" w14:textId="77777777" w:rsidR="008C6DFD" w:rsidRPr="009B491F" w:rsidRDefault="008C6DFD" w:rsidP="005701DD">
      <w:pPr>
        <w:pStyle w:val="ac"/>
        <w:rPr>
          <w:rFonts w:ascii="游明朝" w:eastAsia="游明朝" w:hAnsi="游明朝"/>
          <w:sz w:val="16"/>
          <w:szCs w:val="16"/>
          <w:lang w:eastAsia="ja-JP"/>
        </w:rPr>
      </w:pPr>
      <w:r w:rsidRPr="009B491F">
        <w:rPr>
          <w:rStyle w:val="ae"/>
          <w:rFonts w:ascii="游明朝" w:eastAsia="游明朝" w:hAnsi="游明朝"/>
          <w:sz w:val="16"/>
          <w:szCs w:val="16"/>
        </w:rPr>
        <w:footnoteRef/>
      </w:r>
      <w:r w:rsidRPr="009B491F">
        <w:rPr>
          <w:rFonts w:ascii="游明朝" w:eastAsia="游明朝" w:hAnsi="游明朝"/>
          <w:sz w:val="16"/>
          <w:szCs w:val="16"/>
          <w:lang w:eastAsia="ja-JP"/>
        </w:rPr>
        <w:t xml:space="preserve"> </w:t>
      </w:r>
      <w:r w:rsidRPr="009B491F">
        <w:rPr>
          <w:rFonts w:ascii="游明朝" w:eastAsia="游明朝" w:hAnsi="游明朝" w:hint="eastAsia"/>
          <w:sz w:val="16"/>
          <w:szCs w:val="16"/>
          <w:lang w:eastAsia="ja-JP"/>
        </w:rPr>
        <w:t>行政長官：中華人民共和国香港特別行政区政府の</w:t>
      </w:r>
      <w:bookmarkStart w:id="5" w:name="_Hlk503733592"/>
      <w:r w:rsidRPr="009B491F">
        <w:rPr>
          <w:rFonts w:ascii="游明朝" w:eastAsia="游明朝" w:hAnsi="游明朝" w:hint="eastAsia"/>
          <w:sz w:val="16"/>
          <w:szCs w:val="16"/>
          <w:lang w:eastAsia="ja-JP"/>
        </w:rPr>
        <w:t>首長</w:t>
      </w:r>
      <w:bookmarkEnd w:id="5"/>
      <w:r w:rsidRPr="009B491F">
        <w:rPr>
          <w:rFonts w:ascii="游明朝" w:eastAsia="游明朝" w:hAnsi="游明朝" w:hint="eastAsia"/>
          <w:sz w:val="16"/>
          <w:szCs w:val="16"/>
          <w:lang w:eastAsia="ja-JP"/>
        </w:rPr>
        <w:t>である。</w:t>
      </w:r>
    </w:p>
  </w:footnote>
  <w:footnote w:id="5">
    <w:p w14:paraId="76DE8DFE" w14:textId="77777777" w:rsidR="008C6DFD" w:rsidRPr="009B491F" w:rsidRDefault="008C6DFD" w:rsidP="005701DD">
      <w:pPr>
        <w:pStyle w:val="ac"/>
        <w:rPr>
          <w:rFonts w:ascii="游明朝" w:eastAsia="游明朝" w:hAnsi="游明朝"/>
          <w:sz w:val="16"/>
          <w:szCs w:val="16"/>
          <w:lang w:eastAsia="ja-JP"/>
        </w:rPr>
      </w:pPr>
      <w:r w:rsidRPr="009B491F">
        <w:rPr>
          <w:rStyle w:val="ae"/>
          <w:rFonts w:ascii="游明朝" w:eastAsia="游明朝" w:hAnsi="游明朝"/>
          <w:sz w:val="16"/>
          <w:szCs w:val="16"/>
        </w:rPr>
        <w:footnoteRef/>
      </w:r>
      <w:r w:rsidRPr="009B491F">
        <w:rPr>
          <w:rFonts w:ascii="游明朝" w:eastAsia="游明朝" w:hAnsi="游明朝"/>
          <w:sz w:val="16"/>
          <w:szCs w:val="16"/>
          <w:lang w:eastAsia="ja-JP"/>
        </w:rPr>
        <w:t xml:space="preserve"> </w:t>
      </w:r>
      <w:r w:rsidRPr="009B491F">
        <w:rPr>
          <w:rFonts w:ascii="游明朝" w:eastAsia="游明朝" w:hAnsi="游明朝" w:hint="eastAsia"/>
          <w:sz w:val="16"/>
          <w:szCs w:val="16"/>
          <w:lang w:eastAsia="ja-JP"/>
        </w:rPr>
        <w:t>政府の指名方法は：中国の全国人民代表大会常務委員会の『全国人民代表大会常務委員会の香港特別行政区に行政長官普通選挙問題と</w:t>
      </w:r>
      <w:r w:rsidRPr="009B491F">
        <w:rPr>
          <w:rFonts w:ascii="游明朝" w:eastAsia="游明朝" w:hAnsi="游明朝"/>
          <w:sz w:val="16"/>
          <w:szCs w:val="16"/>
          <w:lang w:eastAsia="ja-JP"/>
        </w:rPr>
        <w:t>2016</w:t>
      </w:r>
      <w:r w:rsidRPr="009B491F">
        <w:rPr>
          <w:rFonts w:ascii="游明朝" w:eastAsia="游明朝" w:hAnsi="游明朝" w:hint="eastAsia"/>
          <w:sz w:val="16"/>
          <w:szCs w:val="16"/>
          <w:lang w:eastAsia="ja-JP"/>
        </w:rPr>
        <w:t>年立法会構成方法の決定』に次のように述べている。それは、行政長官の立候補者は指名委員会の</w:t>
      </w:r>
      <w:r w:rsidRPr="009B491F">
        <w:rPr>
          <w:rFonts w:ascii="游明朝" w:eastAsia="游明朝" w:hAnsi="游明朝"/>
          <w:sz w:val="16"/>
          <w:szCs w:val="16"/>
          <w:lang w:eastAsia="ja-JP"/>
        </w:rPr>
        <w:t>1200</w:t>
      </w:r>
      <w:r w:rsidRPr="009B491F">
        <w:rPr>
          <w:rFonts w:ascii="游明朝" w:eastAsia="游明朝" w:hAnsi="游明朝" w:hint="eastAsia"/>
          <w:sz w:val="16"/>
          <w:szCs w:val="16"/>
          <w:lang w:eastAsia="ja-JP"/>
        </w:rPr>
        <w:t>人から指名し、公民指名及び政党指名は実行しないことである。 (</w:t>
      </w:r>
      <w:hyperlink r:id="rId1" w:history="1">
        <w:r w:rsidRPr="009B491F">
          <w:rPr>
            <w:rStyle w:val="a8"/>
            <w:rFonts w:ascii="游明朝" w:eastAsia="游明朝" w:hAnsi="游明朝"/>
            <w:sz w:val="16"/>
            <w:szCs w:val="16"/>
            <w:lang w:eastAsia="ja-JP"/>
          </w:rPr>
          <w:t>http://www.2017.gov.hk/filemanager/template/tc/doc/20140831a.pdf</w:t>
        </w:r>
      </w:hyperlink>
      <w:r w:rsidRPr="009B491F">
        <w:rPr>
          <w:rFonts w:ascii="游明朝" w:eastAsia="游明朝" w:hAnsi="游明朝"/>
          <w:sz w:val="16"/>
          <w:szCs w:val="16"/>
          <w:lang w:eastAsia="ja-JP"/>
        </w:rPr>
        <w:t>/) (</w:t>
      </w:r>
      <w:r w:rsidRPr="009B491F">
        <w:rPr>
          <w:rFonts w:ascii="游明朝" w:eastAsia="游明朝" w:hAnsi="游明朝" w:hint="eastAsia"/>
          <w:sz w:val="16"/>
          <w:szCs w:val="16"/>
          <w:lang w:eastAsia="ja-JP"/>
        </w:rPr>
        <w:t>2018年1月14日閲覧)</w:t>
      </w:r>
    </w:p>
  </w:footnote>
  <w:footnote w:id="6">
    <w:p w14:paraId="52FA45BA" w14:textId="77777777" w:rsidR="008C6DFD" w:rsidRPr="009B491F" w:rsidRDefault="008C6DFD" w:rsidP="005701DD">
      <w:pPr>
        <w:pStyle w:val="ac"/>
        <w:rPr>
          <w:sz w:val="16"/>
          <w:szCs w:val="16"/>
        </w:rPr>
      </w:pPr>
      <w:r w:rsidRPr="009B491F">
        <w:rPr>
          <w:rStyle w:val="ae"/>
          <w:sz w:val="16"/>
          <w:szCs w:val="16"/>
        </w:rPr>
        <w:footnoteRef/>
      </w:r>
      <w:r w:rsidRPr="009B491F">
        <w:rPr>
          <w:sz w:val="16"/>
          <w:szCs w:val="16"/>
        </w:rPr>
        <w:t xml:space="preserve"> </w:t>
      </w:r>
      <w:r w:rsidRPr="009B491F">
        <w:rPr>
          <w:rFonts w:ascii="游明朝" w:eastAsia="游明朝" w:hAnsi="游明朝" w:hint="eastAsia"/>
          <w:sz w:val="16"/>
          <w:szCs w:val="16"/>
          <w:lang w:eastAsia="ja-JP"/>
        </w:rPr>
        <w:t>「民主党方案」（</w:t>
      </w:r>
      <w:hyperlink r:id="rId2" w:history="1">
        <w:r w:rsidRPr="009B491F">
          <w:rPr>
            <w:rStyle w:val="a8"/>
            <w:rFonts w:ascii="游明朝" w:eastAsia="游明朝" w:hAnsi="游明朝"/>
            <w:sz w:val="16"/>
            <w:szCs w:val="16"/>
            <w:lang w:eastAsia="ja-JP"/>
          </w:rPr>
          <w:t>http://designdemocracy.hk/%E6%B0%91%E4%B8%BB%E9%BB%A8%E6%96%B9%E6%A1%88/?lang=tw</w:t>
        </w:r>
      </w:hyperlink>
      <w:r w:rsidRPr="009B491F">
        <w:rPr>
          <w:rFonts w:ascii="游明朝" w:eastAsia="游明朝" w:hAnsi="游明朝" w:hint="eastAsia"/>
          <w:sz w:val="16"/>
          <w:szCs w:val="16"/>
          <w:lang w:eastAsia="ja-JP"/>
        </w:rPr>
        <w:t>）</w:t>
      </w:r>
      <w:r w:rsidRPr="009B491F">
        <w:rPr>
          <w:rFonts w:ascii="游明朝" w:eastAsia="游明朝" w:hAnsi="游明朝" w:hint="eastAsia"/>
          <w:sz w:val="16"/>
          <w:szCs w:val="16"/>
        </w:rPr>
        <w:t>(2018年1月14日</w:t>
      </w:r>
      <w:r w:rsidRPr="009B491F">
        <w:rPr>
          <w:rFonts w:ascii="游明朝" w:eastAsia="游明朝" w:hAnsi="游明朝" w:hint="eastAsia"/>
          <w:sz w:val="16"/>
          <w:szCs w:val="16"/>
          <w:lang w:eastAsia="ja-JP"/>
        </w:rPr>
        <w:t>閲覧)</w:t>
      </w:r>
    </w:p>
  </w:footnote>
  <w:footnote w:id="7">
    <w:p w14:paraId="6651E588" w14:textId="77777777" w:rsidR="008C6DFD" w:rsidRPr="009B491F" w:rsidRDefault="008C6DFD" w:rsidP="005701DD">
      <w:pPr>
        <w:pStyle w:val="ac"/>
        <w:rPr>
          <w:rFonts w:eastAsia="游明朝"/>
          <w:sz w:val="16"/>
          <w:szCs w:val="16"/>
          <w:lang w:eastAsia="ja-JP"/>
        </w:rPr>
      </w:pPr>
      <w:r>
        <w:rPr>
          <w:rStyle w:val="ae"/>
        </w:rPr>
        <w:footnoteRef/>
      </w:r>
      <w:r>
        <w:t xml:space="preserve"> </w:t>
      </w:r>
      <w:r>
        <w:rPr>
          <w:rFonts w:eastAsia="游明朝"/>
          <w:sz w:val="16"/>
          <w:szCs w:val="16"/>
          <w:lang w:eastAsia="ja-JP"/>
        </w:rPr>
        <w:t>HKSAR, “</w:t>
      </w:r>
      <w:r w:rsidRPr="009B491F">
        <w:rPr>
          <w:rFonts w:eastAsia="游明朝"/>
          <w:sz w:val="16"/>
          <w:szCs w:val="16"/>
          <w:lang w:eastAsia="ja-JP"/>
        </w:rPr>
        <w:t>Questions and Answers on Constitutional Development</w:t>
      </w:r>
      <w:r>
        <w:rPr>
          <w:rFonts w:eastAsia="游明朝"/>
          <w:sz w:val="16"/>
          <w:szCs w:val="16"/>
          <w:lang w:eastAsia="ja-JP"/>
        </w:rPr>
        <w:t>” (</w:t>
      </w:r>
      <w:hyperlink r:id="rId3" w:history="1">
        <w:r w:rsidRPr="003534E6">
          <w:rPr>
            <w:rStyle w:val="a8"/>
            <w:rFonts w:eastAsia="游明朝"/>
            <w:sz w:val="16"/>
            <w:szCs w:val="16"/>
            <w:lang w:eastAsia="ja-JP"/>
          </w:rPr>
          <w:t>http://www.2017.gov.hk/en/liberal/faq.html</w:t>
        </w:r>
      </w:hyperlink>
      <w:r>
        <w:rPr>
          <w:rFonts w:eastAsia="游明朝"/>
          <w:sz w:val="16"/>
          <w:szCs w:val="16"/>
          <w:lang w:eastAsia="ja-JP"/>
        </w:rPr>
        <w:t xml:space="preserve">)  </w:t>
      </w:r>
    </w:p>
  </w:footnote>
  <w:footnote w:id="8">
    <w:p w14:paraId="6EDF80FF" w14:textId="77777777" w:rsidR="008C6DFD" w:rsidRPr="00445FAA" w:rsidRDefault="008C6DFD" w:rsidP="005701DD">
      <w:pPr>
        <w:pStyle w:val="ac"/>
        <w:rPr>
          <w:rFonts w:eastAsia="游明朝"/>
          <w:lang w:eastAsia="ja-JP"/>
        </w:rPr>
      </w:pPr>
      <w:r>
        <w:rPr>
          <w:rStyle w:val="ae"/>
        </w:rPr>
        <w:footnoteRef/>
      </w:r>
      <w:r>
        <w:rPr>
          <w:lang w:eastAsia="ja-JP"/>
        </w:rPr>
        <w:t xml:space="preserve"> </w:t>
      </w:r>
      <w:r w:rsidRPr="00445FAA">
        <w:rPr>
          <w:rFonts w:ascii="Century" w:eastAsia="游明朝" w:hAnsi="Century" w:cs="Times New Roman" w:hint="eastAsia"/>
          <w:sz w:val="16"/>
          <w:szCs w:val="16"/>
          <w:lang w:eastAsia="ja-JP"/>
        </w:rPr>
        <w:t>『基本法』によると、行政長官の基本資格は三つある。まず、年齢は満四十歳以上である。そして、香港に二十年以上を住み続けていること</w:t>
      </w:r>
      <w:r>
        <w:rPr>
          <w:rFonts w:ascii="Century" w:eastAsia="游明朝" w:hAnsi="Century" w:cs="Times New Roman" w:hint="eastAsia"/>
          <w:sz w:val="16"/>
          <w:szCs w:val="16"/>
          <w:lang w:eastAsia="ja-JP"/>
        </w:rPr>
        <w:t>である</w:t>
      </w:r>
      <w:r w:rsidRPr="00445FAA">
        <w:rPr>
          <w:rFonts w:ascii="Century" w:eastAsia="游明朝" w:hAnsi="Century" w:cs="Times New Roman" w:hint="eastAsia"/>
          <w:sz w:val="16"/>
          <w:szCs w:val="16"/>
          <w:lang w:eastAsia="ja-JP"/>
        </w:rPr>
        <w:t>。さらに、外国の永住権がなく香港の永久住民であること</w:t>
      </w:r>
      <w:r>
        <w:rPr>
          <w:rFonts w:ascii="Century" w:eastAsia="游明朝" w:hAnsi="Century" w:cs="Times New Roman" w:hint="eastAsia"/>
          <w:sz w:val="16"/>
          <w:szCs w:val="16"/>
          <w:lang w:eastAsia="ja-JP"/>
        </w:rPr>
        <w:t>である</w:t>
      </w:r>
      <w:r w:rsidRPr="00445FAA">
        <w:rPr>
          <w:rFonts w:ascii="Century" w:eastAsia="游明朝" w:hAnsi="Century" w:cs="Times New Roman" w:hint="eastAsia"/>
          <w:sz w:val="16"/>
          <w:szCs w:val="16"/>
          <w:lang w:eastAsia="ja-JP"/>
        </w:rPr>
        <w:t>。</w:t>
      </w:r>
    </w:p>
  </w:footnote>
  <w:footnote w:id="9">
    <w:p w14:paraId="0DC8913D" w14:textId="77777777" w:rsidR="008C6DFD" w:rsidRPr="00302E6E" w:rsidRDefault="008C6DFD" w:rsidP="00302E6E">
      <w:pPr>
        <w:pStyle w:val="ac"/>
        <w:rPr>
          <w:rFonts w:ascii="ＭＳ 明朝" w:eastAsia="ＭＳ 明朝" w:hAnsi="ＭＳ 明朝"/>
        </w:rPr>
      </w:pPr>
      <w:r w:rsidRPr="00302E6E">
        <w:rPr>
          <w:rStyle w:val="ae"/>
          <w:rFonts w:ascii="ＭＳ 明朝" w:eastAsia="ＭＳ 明朝" w:hAnsi="ＭＳ 明朝"/>
        </w:rPr>
        <w:footnoteRef/>
      </w:r>
      <w:r w:rsidRPr="00302E6E">
        <w:rPr>
          <w:rFonts w:ascii="ＭＳ 明朝" w:eastAsia="ＭＳ 明朝" w:hAnsi="ＭＳ 明朝"/>
        </w:rPr>
        <w:t xml:space="preserve"> </w:t>
      </w:r>
      <w:r w:rsidRPr="00302E6E">
        <w:rPr>
          <w:rFonts w:ascii="ＭＳ 明朝" w:eastAsia="ＭＳ 明朝" w:hAnsi="ＭＳ 明朝"/>
          <w:sz w:val="18"/>
          <w:szCs w:val="18"/>
        </w:rPr>
        <w:t>「補助動詞」とは「～する」に対して「～している」「～してある」「～してくる」「～していく」「～してみる」「～しておく」「～してしまう」「～してやる」「～してあげる」「～してくれる」「～してもらう」といったかたちをとるものである。</w:t>
      </w:r>
    </w:p>
  </w:footnote>
  <w:footnote w:id="10">
    <w:p w14:paraId="62787C18" w14:textId="77777777" w:rsidR="008C6DFD" w:rsidRPr="00302E6E" w:rsidRDefault="008C6DFD" w:rsidP="00302E6E">
      <w:pPr>
        <w:pStyle w:val="ac"/>
        <w:rPr>
          <w:rFonts w:ascii="ＭＳ 明朝" w:eastAsia="ＭＳ 明朝" w:hAnsi="ＭＳ 明朝"/>
        </w:rPr>
      </w:pPr>
      <w:r w:rsidRPr="00302E6E">
        <w:rPr>
          <w:rStyle w:val="ae"/>
          <w:rFonts w:ascii="ＭＳ 明朝" w:eastAsia="ＭＳ 明朝" w:hAnsi="ＭＳ 明朝"/>
        </w:rPr>
        <w:footnoteRef/>
      </w:r>
      <w:r w:rsidRPr="00302E6E">
        <w:rPr>
          <w:rFonts w:ascii="ＭＳ 明朝" w:eastAsia="ＭＳ 明朝" w:hAnsi="ＭＳ 明朝"/>
        </w:rPr>
        <w:t xml:space="preserve"> </w:t>
      </w:r>
      <w:r w:rsidRPr="00302E6E">
        <w:rPr>
          <w:rFonts w:ascii="ＭＳ 明朝" w:eastAsia="ＭＳ 明朝" w:hAnsi="ＭＳ 明朝" w:hint="eastAsia"/>
        </w:rPr>
        <w:t>岩田正美著『社会的排除─参加の欠如・不確かな帰属』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50CDA"/>
    <w:multiLevelType w:val="hybridMultilevel"/>
    <w:tmpl w:val="9216DD70"/>
    <w:lvl w:ilvl="0" w:tplc="0B1235C8">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FB03B1"/>
    <w:multiLevelType w:val="hybridMultilevel"/>
    <w:tmpl w:val="17068BB0"/>
    <w:lvl w:ilvl="0" w:tplc="2F5AFC5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1F95B01"/>
    <w:multiLevelType w:val="hybridMultilevel"/>
    <w:tmpl w:val="73447476"/>
    <w:lvl w:ilvl="0" w:tplc="D092F35A">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B76BA9"/>
    <w:multiLevelType w:val="hybridMultilevel"/>
    <w:tmpl w:val="E9341744"/>
    <w:lvl w:ilvl="0" w:tplc="E786BD62">
      <w:start w:val="1"/>
      <w:numFmt w:val="decimalFullWidth"/>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D8F06DE"/>
    <w:multiLevelType w:val="hybridMultilevel"/>
    <w:tmpl w:val="DAFA5BD0"/>
    <w:lvl w:ilvl="0" w:tplc="5210C8E6">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A72E40"/>
    <w:multiLevelType w:val="hybridMultilevel"/>
    <w:tmpl w:val="B8D8DDF0"/>
    <w:lvl w:ilvl="0" w:tplc="41F0F41E">
      <w:start w:val="1"/>
      <w:numFmt w:val="decimalFullWidth"/>
      <w:lvlText w:val="%1．"/>
      <w:lvlJc w:val="left"/>
      <w:pPr>
        <w:ind w:left="420" w:hanging="420"/>
      </w:pPr>
      <w:rPr>
        <w:rFonts w:ascii="游明朝" w:eastAsia="游明朝" w:hAnsi="游明朝"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6A1560E"/>
    <w:multiLevelType w:val="multilevel"/>
    <w:tmpl w:val="3528CFB4"/>
    <w:lvl w:ilvl="0">
      <w:start w:val="1"/>
      <w:numFmt w:val="bullet"/>
      <w:lvlText w:val=""/>
      <w:lvlJc w:val="left"/>
      <w:pPr>
        <w:tabs>
          <w:tab w:val="num" w:pos="720"/>
        </w:tabs>
        <w:ind w:left="720" w:hanging="360"/>
      </w:pPr>
      <w:rPr>
        <w:rFonts w:ascii="Symbol" w:hAnsi="Symbol" w:cs="OpenSymbol" w:hint="default"/>
        <w:b w:val="0"/>
        <w:sz w:val="2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3"/>
  </w:num>
  <w:num w:numId="3">
    <w:abstractNumId w:val="0"/>
  </w:num>
  <w:num w:numId="4">
    <w:abstractNumId w:val="1"/>
  </w:num>
  <w:num w:numId="5">
    <w:abstractNumId w:val="4"/>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030"/>
    <w:rsid w:val="00040BBD"/>
    <w:rsid w:val="000B3A92"/>
    <w:rsid w:val="000E269A"/>
    <w:rsid w:val="000E541C"/>
    <w:rsid w:val="00116D24"/>
    <w:rsid w:val="00146FB9"/>
    <w:rsid w:val="00161732"/>
    <w:rsid w:val="00194636"/>
    <w:rsid w:val="001A4A39"/>
    <w:rsid w:val="001C43F6"/>
    <w:rsid w:val="00255326"/>
    <w:rsid w:val="00281BFD"/>
    <w:rsid w:val="00286BAF"/>
    <w:rsid w:val="002A3DC9"/>
    <w:rsid w:val="002D24FE"/>
    <w:rsid w:val="002E7ADF"/>
    <w:rsid w:val="00302E6E"/>
    <w:rsid w:val="003037DA"/>
    <w:rsid w:val="00303C90"/>
    <w:rsid w:val="00330A5F"/>
    <w:rsid w:val="00367BA0"/>
    <w:rsid w:val="00377698"/>
    <w:rsid w:val="003811D1"/>
    <w:rsid w:val="0038649C"/>
    <w:rsid w:val="00392ED1"/>
    <w:rsid w:val="004305B0"/>
    <w:rsid w:val="00433621"/>
    <w:rsid w:val="00455416"/>
    <w:rsid w:val="004748F6"/>
    <w:rsid w:val="00487C5A"/>
    <w:rsid w:val="004D786F"/>
    <w:rsid w:val="00527C9A"/>
    <w:rsid w:val="005701DD"/>
    <w:rsid w:val="005A6A9A"/>
    <w:rsid w:val="005D73E0"/>
    <w:rsid w:val="005E0525"/>
    <w:rsid w:val="005F1898"/>
    <w:rsid w:val="00616C54"/>
    <w:rsid w:val="00627C4F"/>
    <w:rsid w:val="00761270"/>
    <w:rsid w:val="00776F2E"/>
    <w:rsid w:val="00797E91"/>
    <w:rsid w:val="007A66B9"/>
    <w:rsid w:val="007C25C0"/>
    <w:rsid w:val="007E3C96"/>
    <w:rsid w:val="00817B96"/>
    <w:rsid w:val="008232E1"/>
    <w:rsid w:val="008355E7"/>
    <w:rsid w:val="00871A7B"/>
    <w:rsid w:val="00876C89"/>
    <w:rsid w:val="008C6DFD"/>
    <w:rsid w:val="008E29FD"/>
    <w:rsid w:val="0091478F"/>
    <w:rsid w:val="009D2743"/>
    <w:rsid w:val="00A558E7"/>
    <w:rsid w:val="00A71452"/>
    <w:rsid w:val="00A72930"/>
    <w:rsid w:val="00A90B2D"/>
    <w:rsid w:val="00B13C96"/>
    <w:rsid w:val="00B23E96"/>
    <w:rsid w:val="00B5154B"/>
    <w:rsid w:val="00B56B3F"/>
    <w:rsid w:val="00B761C5"/>
    <w:rsid w:val="00BC1908"/>
    <w:rsid w:val="00BF3C93"/>
    <w:rsid w:val="00C168C3"/>
    <w:rsid w:val="00CA0BAA"/>
    <w:rsid w:val="00CB0A0D"/>
    <w:rsid w:val="00CB722C"/>
    <w:rsid w:val="00CE4D60"/>
    <w:rsid w:val="00D05230"/>
    <w:rsid w:val="00D652DB"/>
    <w:rsid w:val="00D91BD2"/>
    <w:rsid w:val="00E15D63"/>
    <w:rsid w:val="00E46030"/>
    <w:rsid w:val="00E53737"/>
    <w:rsid w:val="00E55A1A"/>
    <w:rsid w:val="00E810BF"/>
    <w:rsid w:val="00EF1E87"/>
    <w:rsid w:val="00EF2464"/>
    <w:rsid w:val="00F07B07"/>
    <w:rsid w:val="00F259E3"/>
    <w:rsid w:val="00F32CCC"/>
    <w:rsid w:val="00F33EB7"/>
    <w:rsid w:val="00F75922"/>
    <w:rsid w:val="00FC7505"/>
    <w:rsid w:val="00FD31DF"/>
    <w:rsid w:val="00FD6995"/>
    <w:rsid w:val="00F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B2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7C5A"/>
    <w:pPr>
      <w:ind w:firstLineChars="200" w:firstLine="420"/>
    </w:pPr>
  </w:style>
  <w:style w:type="paragraph" w:styleId="a4">
    <w:name w:val="header"/>
    <w:basedOn w:val="a"/>
    <w:link w:val="a5"/>
    <w:uiPriority w:val="99"/>
    <w:unhideWhenUsed/>
    <w:rsid w:val="007C25C0"/>
    <w:pPr>
      <w:pBdr>
        <w:bottom w:val="single" w:sz="6" w:space="1" w:color="auto"/>
      </w:pBdr>
      <w:tabs>
        <w:tab w:val="center" w:pos="4153"/>
        <w:tab w:val="right" w:pos="8306"/>
      </w:tabs>
      <w:snapToGrid w:val="0"/>
      <w:jc w:val="center"/>
    </w:pPr>
    <w:rPr>
      <w:sz w:val="18"/>
      <w:szCs w:val="18"/>
    </w:rPr>
  </w:style>
  <w:style w:type="character" w:customStyle="1" w:styleId="a5">
    <w:name w:val="ヘッダー (文字)"/>
    <w:basedOn w:val="a0"/>
    <w:link w:val="a4"/>
    <w:uiPriority w:val="99"/>
    <w:rsid w:val="007C25C0"/>
    <w:rPr>
      <w:sz w:val="18"/>
      <w:szCs w:val="18"/>
    </w:rPr>
  </w:style>
  <w:style w:type="paragraph" w:styleId="a6">
    <w:name w:val="footer"/>
    <w:basedOn w:val="a"/>
    <w:link w:val="a7"/>
    <w:uiPriority w:val="99"/>
    <w:unhideWhenUsed/>
    <w:rsid w:val="007C25C0"/>
    <w:pPr>
      <w:tabs>
        <w:tab w:val="center" w:pos="4153"/>
        <w:tab w:val="right" w:pos="8306"/>
      </w:tabs>
      <w:snapToGrid w:val="0"/>
      <w:jc w:val="left"/>
    </w:pPr>
    <w:rPr>
      <w:sz w:val="18"/>
      <w:szCs w:val="18"/>
    </w:rPr>
  </w:style>
  <w:style w:type="character" w:customStyle="1" w:styleId="a7">
    <w:name w:val="フッター (文字)"/>
    <w:basedOn w:val="a0"/>
    <w:link w:val="a6"/>
    <w:uiPriority w:val="99"/>
    <w:rsid w:val="007C25C0"/>
    <w:rPr>
      <w:sz w:val="18"/>
      <w:szCs w:val="18"/>
    </w:rPr>
  </w:style>
  <w:style w:type="character" w:styleId="a8">
    <w:name w:val="Hyperlink"/>
    <w:basedOn w:val="a0"/>
    <w:uiPriority w:val="99"/>
    <w:unhideWhenUsed/>
    <w:rsid w:val="000E269A"/>
    <w:rPr>
      <w:color w:val="0563C1" w:themeColor="hyperlink"/>
      <w:u w:val="single"/>
    </w:rPr>
  </w:style>
  <w:style w:type="character" w:customStyle="1" w:styleId="UnresolvedMention">
    <w:name w:val="Unresolved Mention"/>
    <w:basedOn w:val="a0"/>
    <w:uiPriority w:val="99"/>
    <w:semiHidden/>
    <w:unhideWhenUsed/>
    <w:rsid w:val="000E269A"/>
    <w:rPr>
      <w:color w:val="808080"/>
      <w:shd w:val="clear" w:color="auto" w:fill="E6E6E6"/>
    </w:rPr>
  </w:style>
  <w:style w:type="paragraph" w:styleId="a9">
    <w:name w:val="Balloon Text"/>
    <w:basedOn w:val="a"/>
    <w:link w:val="aa"/>
    <w:uiPriority w:val="99"/>
    <w:semiHidden/>
    <w:unhideWhenUsed/>
    <w:rsid w:val="001A4A3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A4A39"/>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43F6"/>
    <w:rPr>
      <w:sz w:val="18"/>
      <w:szCs w:val="18"/>
    </w:rPr>
  </w:style>
  <w:style w:type="paragraph" w:styleId="ac">
    <w:name w:val="footnote text"/>
    <w:basedOn w:val="a"/>
    <w:link w:val="ad"/>
    <w:uiPriority w:val="99"/>
    <w:semiHidden/>
    <w:unhideWhenUsed/>
    <w:rsid w:val="001C43F6"/>
    <w:pPr>
      <w:snapToGrid w:val="0"/>
      <w:jc w:val="left"/>
    </w:pPr>
    <w:rPr>
      <w:sz w:val="20"/>
      <w:szCs w:val="20"/>
      <w:lang w:eastAsia="zh-TW"/>
    </w:rPr>
  </w:style>
  <w:style w:type="character" w:customStyle="1" w:styleId="ad">
    <w:name w:val="脚注文字列 (文字)"/>
    <w:basedOn w:val="a0"/>
    <w:link w:val="ac"/>
    <w:uiPriority w:val="99"/>
    <w:semiHidden/>
    <w:rsid w:val="001C43F6"/>
    <w:rPr>
      <w:sz w:val="20"/>
      <w:szCs w:val="20"/>
      <w:lang w:eastAsia="zh-TW"/>
    </w:rPr>
  </w:style>
  <w:style w:type="character" w:styleId="ae">
    <w:name w:val="footnote reference"/>
    <w:basedOn w:val="a0"/>
    <w:uiPriority w:val="99"/>
    <w:semiHidden/>
    <w:unhideWhenUsed/>
    <w:rsid w:val="001C43F6"/>
    <w:rPr>
      <w:vertAlign w:val="superscript"/>
    </w:rPr>
  </w:style>
  <w:style w:type="paragraph" w:styleId="af">
    <w:name w:val="Body Text"/>
    <w:basedOn w:val="a"/>
    <w:link w:val="af0"/>
    <w:rsid w:val="000B3A92"/>
    <w:pPr>
      <w:widowControl/>
      <w:spacing w:after="140" w:line="276" w:lineRule="auto"/>
      <w:jc w:val="left"/>
    </w:pPr>
    <w:rPr>
      <w:rFonts w:ascii="Liberation Serif" w:eastAsia="SimSun" w:hAnsi="Liberation Serif" w:cs="Lucida Sans"/>
      <w:color w:val="00000A"/>
      <w:sz w:val="24"/>
      <w:szCs w:val="24"/>
      <w:lang w:bidi="hi-IN"/>
    </w:rPr>
  </w:style>
  <w:style w:type="character" w:customStyle="1" w:styleId="af0">
    <w:name w:val="本文 (文字)"/>
    <w:basedOn w:val="a0"/>
    <w:link w:val="af"/>
    <w:rsid w:val="000B3A92"/>
    <w:rPr>
      <w:rFonts w:ascii="Liberation Serif" w:eastAsia="SimSun" w:hAnsi="Liberation Serif" w:cs="Lucida Sans"/>
      <w:color w:val="00000A"/>
      <w:sz w:val="24"/>
      <w:szCs w:val="24"/>
      <w:lang w:bidi="hi-IN"/>
    </w:rPr>
  </w:style>
  <w:style w:type="paragraph" w:customStyle="1" w:styleId="Default">
    <w:name w:val="Default"/>
    <w:rsid w:val="003037DA"/>
    <w:pPr>
      <w:widowControl w:val="0"/>
      <w:autoSpaceDE w:val="0"/>
      <w:autoSpaceDN w:val="0"/>
      <w:adjustRightInd w:val="0"/>
    </w:pPr>
    <w:rPr>
      <w:rFonts w:ascii="DFKai-SB" w:hAnsi="DFKai-SB" w:cs="DFKai-SB"/>
      <w:color w:val="000000"/>
      <w:kern w:val="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7C5A"/>
    <w:pPr>
      <w:ind w:firstLineChars="200" w:firstLine="420"/>
    </w:pPr>
  </w:style>
  <w:style w:type="paragraph" w:styleId="a4">
    <w:name w:val="header"/>
    <w:basedOn w:val="a"/>
    <w:link w:val="a5"/>
    <w:uiPriority w:val="99"/>
    <w:unhideWhenUsed/>
    <w:rsid w:val="007C25C0"/>
    <w:pPr>
      <w:pBdr>
        <w:bottom w:val="single" w:sz="6" w:space="1" w:color="auto"/>
      </w:pBdr>
      <w:tabs>
        <w:tab w:val="center" w:pos="4153"/>
        <w:tab w:val="right" w:pos="8306"/>
      </w:tabs>
      <w:snapToGrid w:val="0"/>
      <w:jc w:val="center"/>
    </w:pPr>
    <w:rPr>
      <w:sz w:val="18"/>
      <w:szCs w:val="18"/>
    </w:rPr>
  </w:style>
  <w:style w:type="character" w:customStyle="1" w:styleId="a5">
    <w:name w:val="ヘッダー (文字)"/>
    <w:basedOn w:val="a0"/>
    <w:link w:val="a4"/>
    <w:uiPriority w:val="99"/>
    <w:rsid w:val="007C25C0"/>
    <w:rPr>
      <w:sz w:val="18"/>
      <w:szCs w:val="18"/>
    </w:rPr>
  </w:style>
  <w:style w:type="paragraph" w:styleId="a6">
    <w:name w:val="footer"/>
    <w:basedOn w:val="a"/>
    <w:link w:val="a7"/>
    <w:uiPriority w:val="99"/>
    <w:unhideWhenUsed/>
    <w:rsid w:val="007C25C0"/>
    <w:pPr>
      <w:tabs>
        <w:tab w:val="center" w:pos="4153"/>
        <w:tab w:val="right" w:pos="8306"/>
      </w:tabs>
      <w:snapToGrid w:val="0"/>
      <w:jc w:val="left"/>
    </w:pPr>
    <w:rPr>
      <w:sz w:val="18"/>
      <w:szCs w:val="18"/>
    </w:rPr>
  </w:style>
  <w:style w:type="character" w:customStyle="1" w:styleId="a7">
    <w:name w:val="フッター (文字)"/>
    <w:basedOn w:val="a0"/>
    <w:link w:val="a6"/>
    <w:uiPriority w:val="99"/>
    <w:rsid w:val="007C25C0"/>
    <w:rPr>
      <w:sz w:val="18"/>
      <w:szCs w:val="18"/>
    </w:rPr>
  </w:style>
  <w:style w:type="character" w:styleId="a8">
    <w:name w:val="Hyperlink"/>
    <w:basedOn w:val="a0"/>
    <w:uiPriority w:val="99"/>
    <w:unhideWhenUsed/>
    <w:rsid w:val="000E269A"/>
    <w:rPr>
      <w:color w:val="0563C1" w:themeColor="hyperlink"/>
      <w:u w:val="single"/>
    </w:rPr>
  </w:style>
  <w:style w:type="character" w:customStyle="1" w:styleId="UnresolvedMention">
    <w:name w:val="Unresolved Mention"/>
    <w:basedOn w:val="a0"/>
    <w:uiPriority w:val="99"/>
    <w:semiHidden/>
    <w:unhideWhenUsed/>
    <w:rsid w:val="000E269A"/>
    <w:rPr>
      <w:color w:val="808080"/>
      <w:shd w:val="clear" w:color="auto" w:fill="E6E6E6"/>
    </w:rPr>
  </w:style>
  <w:style w:type="paragraph" w:styleId="a9">
    <w:name w:val="Balloon Text"/>
    <w:basedOn w:val="a"/>
    <w:link w:val="aa"/>
    <w:uiPriority w:val="99"/>
    <w:semiHidden/>
    <w:unhideWhenUsed/>
    <w:rsid w:val="001A4A3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A4A39"/>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43F6"/>
    <w:rPr>
      <w:sz w:val="18"/>
      <w:szCs w:val="18"/>
    </w:rPr>
  </w:style>
  <w:style w:type="paragraph" w:styleId="ac">
    <w:name w:val="footnote text"/>
    <w:basedOn w:val="a"/>
    <w:link w:val="ad"/>
    <w:uiPriority w:val="99"/>
    <w:semiHidden/>
    <w:unhideWhenUsed/>
    <w:rsid w:val="001C43F6"/>
    <w:pPr>
      <w:snapToGrid w:val="0"/>
      <w:jc w:val="left"/>
    </w:pPr>
    <w:rPr>
      <w:sz w:val="20"/>
      <w:szCs w:val="20"/>
      <w:lang w:eastAsia="zh-TW"/>
    </w:rPr>
  </w:style>
  <w:style w:type="character" w:customStyle="1" w:styleId="ad">
    <w:name w:val="脚注文字列 (文字)"/>
    <w:basedOn w:val="a0"/>
    <w:link w:val="ac"/>
    <w:uiPriority w:val="99"/>
    <w:semiHidden/>
    <w:rsid w:val="001C43F6"/>
    <w:rPr>
      <w:sz w:val="20"/>
      <w:szCs w:val="20"/>
      <w:lang w:eastAsia="zh-TW"/>
    </w:rPr>
  </w:style>
  <w:style w:type="character" w:styleId="ae">
    <w:name w:val="footnote reference"/>
    <w:basedOn w:val="a0"/>
    <w:uiPriority w:val="99"/>
    <w:semiHidden/>
    <w:unhideWhenUsed/>
    <w:rsid w:val="001C43F6"/>
    <w:rPr>
      <w:vertAlign w:val="superscript"/>
    </w:rPr>
  </w:style>
  <w:style w:type="paragraph" w:styleId="af">
    <w:name w:val="Body Text"/>
    <w:basedOn w:val="a"/>
    <w:link w:val="af0"/>
    <w:rsid w:val="000B3A92"/>
    <w:pPr>
      <w:widowControl/>
      <w:spacing w:after="140" w:line="276" w:lineRule="auto"/>
      <w:jc w:val="left"/>
    </w:pPr>
    <w:rPr>
      <w:rFonts w:ascii="Liberation Serif" w:eastAsia="SimSun" w:hAnsi="Liberation Serif" w:cs="Lucida Sans"/>
      <w:color w:val="00000A"/>
      <w:sz w:val="24"/>
      <w:szCs w:val="24"/>
      <w:lang w:bidi="hi-IN"/>
    </w:rPr>
  </w:style>
  <w:style w:type="character" w:customStyle="1" w:styleId="af0">
    <w:name w:val="本文 (文字)"/>
    <w:basedOn w:val="a0"/>
    <w:link w:val="af"/>
    <w:rsid w:val="000B3A92"/>
    <w:rPr>
      <w:rFonts w:ascii="Liberation Serif" w:eastAsia="SimSun" w:hAnsi="Liberation Serif" w:cs="Lucida Sans"/>
      <w:color w:val="00000A"/>
      <w:sz w:val="24"/>
      <w:szCs w:val="24"/>
      <w:lang w:bidi="hi-IN"/>
    </w:rPr>
  </w:style>
  <w:style w:type="paragraph" w:customStyle="1" w:styleId="Default">
    <w:name w:val="Default"/>
    <w:rsid w:val="003037DA"/>
    <w:pPr>
      <w:widowControl w:val="0"/>
      <w:autoSpaceDE w:val="0"/>
      <w:autoSpaceDN w:val="0"/>
      <w:adjustRightInd w:val="0"/>
    </w:pPr>
    <w:rPr>
      <w:rFonts w:ascii="DFKai-SB" w:hAnsi="DFKai-SB" w:cs="DFKai-SB"/>
      <w:color w:val="000000"/>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www.2017.gov.hk/en/liberal/faq.html" TargetMode="External"/><Relationship Id="rId2" Type="http://schemas.openxmlformats.org/officeDocument/2006/relationships/hyperlink" Target="http://designdemocracy.hk/%E6%B0%91%E4%B8%BB%E9%BB%A8%E6%96%B9%E6%A1%88/?lang=tw" TargetMode="External"/><Relationship Id="rId1" Type="http://schemas.openxmlformats.org/officeDocument/2006/relationships/hyperlink" Target="http://www.2017.gov.hk/filemanager/template/tc/doc/20140831a.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102AA-F115-4D32-8CA4-9988452B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3432</Words>
  <Characters>19569</Characters>
  <Application>Microsoft Office Word</Application>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houteki1997@yahoo.co.jp</dc:creator>
  <cp:lastModifiedBy>sugiura</cp:lastModifiedBy>
  <cp:revision>2</cp:revision>
  <dcterms:created xsi:type="dcterms:W3CDTF">2018-02-26T09:09:00Z</dcterms:created>
  <dcterms:modified xsi:type="dcterms:W3CDTF">2018-02-26T09:09:00Z</dcterms:modified>
</cp:coreProperties>
</file>